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8455E" w:rsidRDefault="00F8455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PRUEBAS EN SISTEMA DE ENCENDIDO:</w:t>
      </w:r>
    </w:p>
    <w:p w:rsidR="00927375" w:rsidRDefault="00F8455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01 SECUNDARIO SISTEMA DISTRIBUIDOR</w:t>
      </w:r>
    </w:p>
    <w:p w:rsidR="00927375" w:rsidRDefault="00352732">
      <w:pPr>
        <w:spacing w:after="0" w:line="240" w:lineRule="auto"/>
        <w:jc w:val="both"/>
        <w:rPr>
          <w:sz w:val="24"/>
          <w:szCs w:val="24"/>
        </w:rPr>
      </w:pPr>
      <w:r>
        <w:pict w14:anchorId="3C121F42">
          <v:rect id="_x0000_i1025" style="width:0;height:1.5pt" o:hralign="center" o:hrstd="t" o:hr="t" fillcolor="#a0a0a0" stroked="f"/>
        </w:pict>
      </w:r>
    </w:p>
    <w:p w:rsidR="00927375" w:rsidRDefault="00927375">
      <w:pPr>
        <w:spacing w:after="0" w:line="240" w:lineRule="auto"/>
        <w:jc w:val="both"/>
        <w:rPr>
          <w:b/>
          <w:sz w:val="24"/>
          <w:szCs w:val="24"/>
        </w:rPr>
      </w:pPr>
    </w:p>
    <w:p w:rsidR="00F8455E" w:rsidRDefault="00E83C1D" w:rsidP="00F8455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1.- Fundamentos técnicos.</w:t>
      </w:r>
    </w:p>
    <w:p w:rsidR="00F8455E" w:rsidRDefault="00F8455E" w:rsidP="00F8455E">
      <w:pPr>
        <w:spacing w:after="0" w:line="240" w:lineRule="auto"/>
        <w:jc w:val="both"/>
        <w:rPr>
          <w:b/>
          <w:sz w:val="24"/>
          <w:szCs w:val="24"/>
        </w:rPr>
      </w:pPr>
    </w:p>
    <w:p w:rsidR="00F8455E" w:rsidRDefault="00F8455E" w:rsidP="00F8455E">
      <w:pPr>
        <w:spacing w:after="0" w:line="240" w:lineRule="auto"/>
        <w:jc w:val="both"/>
        <w:rPr>
          <w:b/>
          <w:sz w:val="24"/>
          <w:szCs w:val="24"/>
        </w:rPr>
      </w:pPr>
      <w:r w:rsidRPr="00F8455E">
        <w:rPr>
          <w:sz w:val="24"/>
          <w:szCs w:val="24"/>
        </w:rPr>
        <w:t>Dentro del devanado primario de la bobina se encuentra el devanado secundario. Este devanado está</w:t>
      </w:r>
      <w:r>
        <w:rPr>
          <w:b/>
          <w:sz w:val="24"/>
          <w:szCs w:val="24"/>
        </w:rPr>
        <w:t xml:space="preserve"> </w:t>
      </w:r>
      <w:r w:rsidRPr="00F8455E">
        <w:rPr>
          <w:sz w:val="24"/>
          <w:szCs w:val="24"/>
        </w:rPr>
        <w:t xml:space="preserve">enrollado alrededor de un núcleo de hierro </w:t>
      </w:r>
      <w:proofErr w:type="spellStart"/>
      <w:r w:rsidRPr="00F8455E">
        <w:rPr>
          <w:sz w:val="24"/>
          <w:szCs w:val="24"/>
        </w:rPr>
        <w:t>multilaminado</w:t>
      </w:r>
      <w:proofErr w:type="spellEnd"/>
      <w:r w:rsidRPr="00F8455E">
        <w:rPr>
          <w:sz w:val="24"/>
          <w:szCs w:val="24"/>
        </w:rPr>
        <w:t xml:space="preserve"> y tiene entre 20 000 y 30 000 vueltas. Un extremo</w:t>
      </w:r>
      <w:r>
        <w:rPr>
          <w:b/>
          <w:sz w:val="24"/>
          <w:szCs w:val="24"/>
        </w:rPr>
        <w:t xml:space="preserve"> </w:t>
      </w:r>
      <w:r w:rsidRPr="00F8455E">
        <w:rPr>
          <w:sz w:val="24"/>
          <w:szCs w:val="24"/>
        </w:rPr>
        <w:t>está conectado al terminal principal y el otro a la torre de la bobina.</w:t>
      </w:r>
    </w:p>
    <w:p w:rsidR="00F8455E" w:rsidRDefault="00F8455E" w:rsidP="00F8455E">
      <w:pPr>
        <w:spacing w:after="0" w:line="240" w:lineRule="auto"/>
        <w:jc w:val="both"/>
        <w:rPr>
          <w:b/>
          <w:sz w:val="24"/>
          <w:szCs w:val="24"/>
        </w:rPr>
      </w:pPr>
    </w:p>
    <w:p w:rsidR="00F8455E" w:rsidRDefault="00F8455E" w:rsidP="00F8455E">
      <w:pPr>
        <w:spacing w:after="0" w:line="240" w:lineRule="auto"/>
        <w:jc w:val="both"/>
        <w:rPr>
          <w:b/>
          <w:sz w:val="24"/>
          <w:szCs w:val="24"/>
        </w:rPr>
      </w:pPr>
      <w:r w:rsidRPr="00F8455E">
        <w:rPr>
          <w:sz w:val="24"/>
          <w:szCs w:val="24"/>
        </w:rPr>
        <w:t>El voltaje de alta tensión se produce mediante la inducción mutua entre el devanado principal y el</w:t>
      </w:r>
      <w:r>
        <w:rPr>
          <w:b/>
          <w:sz w:val="24"/>
          <w:szCs w:val="24"/>
        </w:rPr>
        <w:t xml:space="preserve"> </w:t>
      </w:r>
      <w:r w:rsidRPr="00F8455E">
        <w:rPr>
          <w:sz w:val="24"/>
          <w:szCs w:val="24"/>
        </w:rPr>
        <w:t>secundario. El núcleo de hierro central intensifica el campo magnético entre ellos.</w:t>
      </w:r>
    </w:p>
    <w:p w:rsidR="00F8455E" w:rsidRDefault="00F8455E" w:rsidP="00F8455E">
      <w:pPr>
        <w:spacing w:after="0" w:line="240" w:lineRule="auto"/>
        <w:jc w:val="both"/>
        <w:rPr>
          <w:b/>
          <w:sz w:val="24"/>
          <w:szCs w:val="24"/>
        </w:rPr>
      </w:pPr>
    </w:p>
    <w:p w:rsidR="00F8455E" w:rsidRDefault="00F8455E" w:rsidP="00F8455E">
      <w:pPr>
        <w:spacing w:after="0" w:line="240" w:lineRule="auto"/>
        <w:jc w:val="both"/>
        <w:rPr>
          <w:b/>
          <w:sz w:val="24"/>
          <w:szCs w:val="24"/>
        </w:rPr>
      </w:pPr>
      <w:r w:rsidRPr="00F8455E">
        <w:rPr>
          <w:sz w:val="24"/>
          <w:szCs w:val="24"/>
        </w:rPr>
        <w:t>En un sistema de distribuidor, la alta tensión secundaria producida por la bobina se asigna a la bujía</w:t>
      </w:r>
      <w:r>
        <w:rPr>
          <w:b/>
          <w:sz w:val="24"/>
          <w:szCs w:val="24"/>
        </w:rPr>
        <w:t xml:space="preserve"> </w:t>
      </w:r>
      <w:r w:rsidRPr="00F8455E">
        <w:rPr>
          <w:sz w:val="24"/>
          <w:szCs w:val="24"/>
        </w:rPr>
        <w:t>correspondiente mediante los contactos situados en el interior de la tapa del distribuidor.</w:t>
      </w:r>
    </w:p>
    <w:p w:rsidR="00F8455E" w:rsidRDefault="00F8455E" w:rsidP="00F8455E">
      <w:pPr>
        <w:spacing w:after="0" w:line="240" w:lineRule="auto"/>
        <w:jc w:val="both"/>
        <w:rPr>
          <w:b/>
          <w:sz w:val="24"/>
          <w:szCs w:val="24"/>
        </w:rPr>
      </w:pPr>
    </w:p>
    <w:p w:rsidR="00F8455E" w:rsidRDefault="00F8455E" w:rsidP="00F8455E">
      <w:pPr>
        <w:spacing w:after="0" w:line="240" w:lineRule="auto"/>
        <w:jc w:val="both"/>
        <w:rPr>
          <w:b/>
          <w:sz w:val="24"/>
          <w:szCs w:val="24"/>
        </w:rPr>
      </w:pPr>
      <w:r w:rsidRPr="00F8455E">
        <w:rPr>
          <w:sz w:val="24"/>
          <w:szCs w:val="24"/>
        </w:rPr>
        <w:t>La tensión medida en la bujía es la tensión necesaria para saltar la holgura del electrodo de la bujía en</w:t>
      </w:r>
      <w:r>
        <w:rPr>
          <w:b/>
          <w:sz w:val="24"/>
          <w:szCs w:val="24"/>
        </w:rPr>
        <w:t xml:space="preserve"> </w:t>
      </w:r>
      <w:r w:rsidRPr="00F8455E">
        <w:rPr>
          <w:sz w:val="24"/>
          <w:szCs w:val="24"/>
        </w:rPr>
        <w:t>diferentes condiciones; esta tensión se determinará del siguiente modo:</w:t>
      </w:r>
    </w:p>
    <w:p w:rsidR="00F8455E" w:rsidRPr="00F8455E" w:rsidRDefault="00F8455E" w:rsidP="00F8455E">
      <w:pPr>
        <w:spacing w:after="0" w:line="240" w:lineRule="auto"/>
        <w:jc w:val="both"/>
        <w:rPr>
          <w:sz w:val="24"/>
          <w:szCs w:val="24"/>
        </w:rPr>
      </w:pPr>
    </w:p>
    <w:p w:rsidR="00F8455E" w:rsidRPr="00F8455E" w:rsidRDefault="00F8455E" w:rsidP="00F8455E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 w:rsidRPr="00F8455E">
        <w:rPr>
          <w:b/>
          <w:sz w:val="24"/>
          <w:szCs w:val="24"/>
        </w:rPr>
        <w:t>La tensi</w:t>
      </w:r>
      <w:r w:rsidRPr="00F8455E">
        <w:rPr>
          <w:rFonts w:hint="cs"/>
          <w:b/>
          <w:sz w:val="24"/>
          <w:szCs w:val="24"/>
        </w:rPr>
        <w:t>ó</w:t>
      </w:r>
      <w:r w:rsidRPr="00F8455E">
        <w:rPr>
          <w:b/>
          <w:sz w:val="24"/>
          <w:szCs w:val="24"/>
        </w:rPr>
        <w:t>n de la buj</w:t>
      </w:r>
      <w:r w:rsidRPr="00F8455E">
        <w:rPr>
          <w:rFonts w:hint="cs"/>
          <w:b/>
          <w:sz w:val="24"/>
          <w:szCs w:val="24"/>
        </w:rPr>
        <w:t>í</w:t>
      </w:r>
      <w:r w:rsidRPr="00F8455E">
        <w:rPr>
          <w:b/>
          <w:sz w:val="24"/>
          <w:szCs w:val="24"/>
        </w:rPr>
        <w:t>a aumentará con</w:t>
      </w:r>
      <w:r>
        <w:rPr>
          <w:b/>
          <w:sz w:val="24"/>
          <w:szCs w:val="24"/>
        </w:rPr>
        <w:t>:</w:t>
      </w:r>
    </w:p>
    <w:p w:rsidR="00F8455E" w:rsidRPr="00F8455E" w:rsidRDefault="00F8455E" w:rsidP="00F8455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F8455E">
        <w:rPr>
          <w:sz w:val="24"/>
          <w:szCs w:val="24"/>
        </w:rPr>
        <w:t>Holguras de buj</w:t>
      </w:r>
      <w:r w:rsidRPr="00F8455E">
        <w:rPr>
          <w:rFonts w:hint="cs"/>
          <w:sz w:val="24"/>
          <w:szCs w:val="24"/>
        </w:rPr>
        <w:t>í</w:t>
      </w:r>
      <w:r w:rsidRPr="00F8455E">
        <w:rPr>
          <w:sz w:val="24"/>
          <w:szCs w:val="24"/>
        </w:rPr>
        <w:t xml:space="preserve">a grandes </w:t>
      </w:r>
    </w:p>
    <w:p w:rsidR="00F8455E" w:rsidRPr="00F8455E" w:rsidRDefault="00F8455E" w:rsidP="00F8455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F8455E">
        <w:rPr>
          <w:sz w:val="24"/>
          <w:szCs w:val="24"/>
        </w:rPr>
        <w:t xml:space="preserve">Una holgura de aire de rotor grande </w:t>
      </w:r>
    </w:p>
    <w:p w:rsidR="00F8455E" w:rsidRPr="00F8455E" w:rsidRDefault="00F8455E" w:rsidP="00F8455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F8455E">
        <w:rPr>
          <w:sz w:val="24"/>
          <w:szCs w:val="24"/>
        </w:rPr>
        <w:t>Una rotura en el terminal de la buj</w:t>
      </w:r>
      <w:r w:rsidRPr="00F8455E">
        <w:rPr>
          <w:rFonts w:hint="cs"/>
          <w:sz w:val="24"/>
          <w:szCs w:val="24"/>
        </w:rPr>
        <w:t>í</w:t>
      </w:r>
      <w:r w:rsidRPr="00F8455E">
        <w:rPr>
          <w:sz w:val="24"/>
          <w:szCs w:val="24"/>
        </w:rPr>
        <w:t xml:space="preserve">a </w:t>
      </w:r>
    </w:p>
    <w:p w:rsidR="00F8455E" w:rsidRPr="00F8455E" w:rsidRDefault="00F8455E" w:rsidP="00F8455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F8455E">
        <w:rPr>
          <w:sz w:val="24"/>
          <w:szCs w:val="24"/>
        </w:rPr>
        <w:t xml:space="preserve">Una rotura en el terminal King </w:t>
      </w:r>
    </w:p>
    <w:p w:rsidR="00F8455E" w:rsidRPr="00F8455E" w:rsidRDefault="00F8455E" w:rsidP="00F8455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F8455E">
        <w:rPr>
          <w:sz w:val="24"/>
          <w:szCs w:val="24"/>
        </w:rPr>
        <w:t>Buj</w:t>
      </w:r>
      <w:r w:rsidRPr="00F8455E">
        <w:rPr>
          <w:rFonts w:hint="cs"/>
          <w:sz w:val="24"/>
          <w:szCs w:val="24"/>
        </w:rPr>
        <w:t>í</w:t>
      </w:r>
      <w:r w:rsidRPr="00F8455E">
        <w:rPr>
          <w:sz w:val="24"/>
          <w:szCs w:val="24"/>
        </w:rPr>
        <w:t xml:space="preserve">as desgastadas </w:t>
      </w:r>
    </w:p>
    <w:p w:rsidR="00F8455E" w:rsidRPr="00F8455E" w:rsidRDefault="00F8455E" w:rsidP="00F8455E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Pr="00F8455E">
        <w:rPr>
          <w:sz w:val="24"/>
          <w:szCs w:val="24"/>
        </w:rPr>
        <w:t xml:space="preserve">Una mezcla pobre </w:t>
      </w:r>
    </w:p>
    <w:p w:rsidR="00F8455E" w:rsidRPr="00F8455E" w:rsidRDefault="00F8455E" w:rsidP="00F8455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8455E">
        <w:rPr>
          <w:sz w:val="24"/>
          <w:szCs w:val="24"/>
        </w:rPr>
        <w:t>Mala alineaci</w:t>
      </w:r>
      <w:r w:rsidRPr="00F8455E">
        <w:rPr>
          <w:rFonts w:hint="cs"/>
          <w:sz w:val="24"/>
          <w:szCs w:val="24"/>
        </w:rPr>
        <w:t>ó</w:t>
      </w:r>
      <w:r w:rsidRPr="00F8455E">
        <w:rPr>
          <w:sz w:val="24"/>
          <w:szCs w:val="24"/>
        </w:rPr>
        <w:t xml:space="preserve">n entre el rotor y el </w:t>
      </w:r>
      <w:proofErr w:type="spellStart"/>
      <w:r w:rsidRPr="00F8455E">
        <w:rPr>
          <w:sz w:val="24"/>
          <w:szCs w:val="24"/>
        </w:rPr>
        <w:t>reluctor</w:t>
      </w:r>
      <w:proofErr w:type="spellEnd"/>
    </w:p>
    <w:p w:rsidR="00F8455E" w:rsidRPr="00F8455E" w:rsidRDefault="00F8455E" w:rsidP="00F8455E">
      <w:pPr>
        <w:spacing w:after="0" w:line="240" w:lineRule="auto"/>
        <w:jc w:val="both"/>
        <w:rPr>
          <w:sz w:val="24"/>
          <w:szCs w:val="24"/>
        </w:rPr>
      </w:pPr>
    </w:p>
    <w:p w:rsidR="00F8455E" w:rsidRPr="00F8455E" w:rsidRDefault="00F8455E" w:rsidP="00F8455E">
      <w:pPr>
        <w:spacing w:after="0" w:line="240" w:lineRule="auto"/>
        <w:jc w:val="both"/>
        <w:rPr>
          <w:b/>
          <w:sz w:val="24"/>
          <w:szCs w:val="24"/>
        </w:rPr>
      </w:pPr>
      <w:r w:rsidRPr="00F8455E">
        <w:rPr>
          <w:b/>
          <w:sz w:val="24"/>
          <w:szCs w:val="24"/>
        </w:rPr>
        <w:t>La tensión de la bujía disminuirá con:</w:t>
      </w:r>
    </w:p>
    <w:p w:rsidR="00F8455E" w:rsidRPr="00F8455E" w:rsidRDefault="00F8455E" w:rsidP="00F8455E">
      <w:pPr>
        <w:spacing w:after="0" w:line="240" w:lineRule="auto"/>
        <w:jc w:val="both"/>
        <w:rPr>
          <w:sz w:val="24"/>
          <w:szCs w:val="24"/>
        </w:rPr>
      </w:pPr>
      <w:r w:rsidRPr="00F8455E">
        <w:rPr>
          <w:sz w:val="24"/>
          <w:szCs w:val="24"/>
        </w:rPr>
        <w:t>Holguras de bujía pequeñas</w:t>
      </w:r>
    </w:p>
    <w:p w:rsidR="00F8455E" w:rsidRPr="00F8455E" w:rsidRDefault="00F8455E" w:rsidP="00F8455E">
      <w:pPr>
        <w:spacing w:after="0" w:line="240" w:lineRule="auto"/>
        <w:jc w:val="both"/>
        <w:rPr>
          <w:sz w:val="24"/>
          <w:szCs w:val="24"/>
        </w:rPr>
      </w:pPr>
      <w:r w:rsidRPr="00F8455E">
        <w:rPr>
          <w:sz w:val="24"/>
          <w:szCs w:val="24"/>
        </w:rPr>
        <w:t>Compresión baja</w:t>
      </w:r>
    </w:p>
    <w:p w:rsidR="00F8455E" w:rsidRPr="00F8455E" w:rsidRDefault="00F8455E" w:rsidP="00F8455E">
      <w:pPr>
        <w:spacing w:after="0" w:line="240" w:lineRule="auto"/>
        <w:jc w:val="both"/>
        <w:rPr>
          <w:sz w:val="24"/>
          <w:szCs w:val="24"/>
        </w:rPr>
      </w:pPr>
      <w:r w:rsidRPr="00F8455E">
        <w:rPr>
          <w:sz w:val="24"/>
          <w:szCs w:val="24"/>
        </w:rPr>
        <w:t>Mezcla rica</w:t>
      </w:r>
    </w:p>
    <w:p w:rsidR="00F8455E" w:rsidRPr="00F8455E" w:rsidRDefault="00F8455E" w:rsidP="00F8455E">
      <w:pPr>
        <w:spacing w:after="0" w:line="240" w:lineRule="auto"/>
        <w:jc w:val="both"/>
        <w:rPr>
          <w:sz w:val="24"/>
          <w:szCs w:val="24"/>
        </w:rPr>
      </w:pPr>
      <w:r w:rsidRPr="00F8455E">
        <w:rPr>
          <w:sz w:val="24"/>
          <w:szCs w:val="24"/>
        </w:rPr>
        <w:t>Secuencia de encendido incorrecta</w:t>
      </w:r>
    </w:p>
    <w:p w:rsidR="00F8455E" w:rsidRPr="00F8455E" w:rsidRDefault="00F8455E" w:rsidP="00F8455E">
      <w:pPr>
        <w:spacing w:after="0" w:line="240" w:lineRule="auto"/>
        <w:jc w:val="both"/>
        <w:rPr>
          <w:sz w:val="24"/>
          <w:szCs w:val="24"/>
        </w:rPr>
      </w:pPr>
      <w:r w:rsidRPr="00F8455E">
        <w:rPr>
          <w:sz w:val="24"/>
          <w:szCs w:val="24"/>
        </w:rPr>
        <w:t>Descarga a toma de tierra</w:t>
      </w:r>
    </w:p>
    <w:p w:rsidR="00F8455E" w:rsidRDefault="00F8455E" w:rsidP="00F8455E">
      <w:pPr>
        <w:spacing w:after="0" w:line="240" w:lineRule="auto"/>
        <w:jc w:val="both"/>
        <w:rPr>
          <w:sz w:val="24"/>
          <w:szCs w:val="24"/>
        </w:rPr>
      </w:pPr>
      <w:r w:rsidRPr="00F8455E">
        <w:rPr>
          <w:sz w:val="24"/>
          <w:szCs w:val="24"/>
        </w:rPr>
        <w:t>Bujías averiadas</w:t>
      </w:r>
    </w:p>
    <w:p w:rsidR="00F8455E" w:rsidRDefault="00F8455E" w:rsidP="00F8455E">
      <w:pPr>
        <w:spacing w:after="0" w:line="240" w:lineRule="auto"/>
        <w:jc w:val="both"/>
        <w:rPr>
          <w:sz w:val="24"/>
          <w:szCs w:val="24"/>
        </w:rPr>
      </w:pPr>
    </w:p>
    <w:p w:rsidR="00F8455E" w:rsidRPr="00F8455E" w:rsidRDefault="00F8455E" w:rsidP="00F8455E">
      <w:pPr>
        <w:spacing w:after="0" w:line="240" w:lineRule="auto"/>
        <w:jc w:val="both"/>
        <w:rPr>
          <w:sz w:val="24"/>
          <w:szCs w:val="24"/>
        </w:rPr>
      </w:pPr>
      <w:r w:rsidRPr="00F8455E">
        <w:rPr>
          <w:sz w:val="24"/>
          <w:szCs w:val="24"/>
        </w:rPr>
        <w:t>La necesidad de tensión de bujía (</w:t>
      </w:r>
      <w:proofErr w:type="spellStart"/>
      <w:r w:rsidRPr="00F8455E">
        <w:rPr>
          <w:sz w:val="24"/>
          <w:szCs w:val="24"/>
        </w:rPr>
        <w:t>kV</w:t>
      </w:r>
      <w:proofErr w:type="spellEnd"/>
      <w:r w:rsidRPr="00F8455E">
        <w:rPr>
          <w:sz w:val="24"/>
          <w:szCs w:val="24"/>
        </w:rPr>
        <w:t>) en los motores antiguos suele ser inferior a la de los motores</w:t>
      </w:r>
      <w:r>
        <w:rPr>
          <w:sz w:val="24"/>
          <w:szCs w:val="24"/>
        </w:rPr>
        <w:t xml:space="preserve"> </w:t>
      </w:r>
      <w:r w:rsidRPr="00F8455E">
        <w:rPr>
          <w:sz w:val="24"/>
          <w:szCs w:val="24"/>
        </w:rPr>
        <w:t>modernos, ya que los últimos diseños ofrecen relaciones de compresión superiores, relaciones de</w:t>
      </w:r>
      <w:r>
        <w:rPr>
          <w:sz w:val="24"/>
          <w:szCs w:val="24"/>
        </w:rPr>
        <w:t xml:space="preserve"> </w:t>
      </w:r>
      <w:r w:rsidRPr="00F8455E">
        <w:rPr>
          <w:sz w:val="24"/>
          <w:szCs w:val="24"/>
        </w:rPr>
        <w:t>aire/combustible más pobres y holguras de bujía más grandes.</w:t>
      </w:r>
    </w:p>
    <w:p w:rsidR="00F8455E" w:rsidRPr="00F8455E" w:rsidRDefault="00F8455E" w:rsidP="00F8455E">
      <w:pPr>
        <w:spacing w:after="0" w:line="240" w:lineRule="auto"/>
        <w:jc w:val="both"/>
        <w:rPr>
          <w:b/>
          <w:sz w:val="24"/>
          <w:szCs w:val="24"/>
        </w:rPr>
      </w:pPr>
    </w:p>
    <w:p w:rsidR="002E2031" w:rsidRDefault="002E203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C39F6" w:rsidRDefault="00E83C1D" w:rsidP="004C39F6">
      <w:pPr>
        <w:spacing w:after="0" w:line="240" w:lineRule="auto"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>2.- Medición de la señal.</w:t>
      </w:r>
    </w:p>
    <w:p w:rsidR="004C39F6" w:rsidRDefault="004C39F6" w:rsidP="004C39F6">
      <w:pPr>
        <w:spacing w:after="0" w:line="240" w:lineRule="auto"/>
        <w:jc w:val="both"/>
        <w:rPr>
          <w:b/>
          <w:sz w:val="24"/>
          <w:szCs w:val="24"/>
        </w:rPr>
      </w:pPr>
    </w:p>
    <w:p w:rsidR="00C3380C" w:rsidRPr="004C39F6" w:rsidRDefault="00E83C1D" w:rsidP="004C39F6">
      <w:pPr>
        <w:spacing w:after="0" w:line="240" w:lineRule="auto"/>
        <w:jc w:val="both"/>
        <w:rPr>
          <w:b/>
          <w:sz w:val="24"/>
          <w:szCs w:val="24"/>
        </w:rPr>
      </w:pPr>
      <w:r w:rsidRPr="004C39F6">
        <w:rPr>
          <w:sz w:val="24"/>
          <w:szCs w:val="24"/>
        </w:rPr>
        <w:t xml:space="preserve">Las comprobaciones de la señal del </w:t>
      </w:r>
      <w:r w:rsidR="004C39F6" w:rsidRPr="004C39F6">
        <w:rPr>
          <w:sz w:val="24"/>
          <w:szCs w:val="24"/>
        </w:rPr>
        <w:t>encendido en la bobina del secundario</w:t>
      </w:r>
      <w:r w:rsidRPr="004C39F6">
        <w:rPr>
          <w:sz w:val="24"/>
          <w:szCs w:val="24"/>
        </w:rPr>
        <w:t xml:space="preserve"> se han llevado a cabo en un</w:t>
      </w:r>
      <w:r w:rsidR="004C39F6" w:rsidRPr="004C39F6">
        <w:rPr>
          <w:sz w:val="24"/>
          <w:szCs w:val="24"/>
        </w:rPr>
        <w:t xml:space="preserve"> CORSA A CC (S83) 1.2 (52cv).</w:t>
      </w:r>
    </w:p>
    <w:p w:rsidR="00927375" w:rsidRDefault="00927375">
      <w:pPr>
        <w:spacing w:after="0" w:line="240" w:lineRule="auto"/>
        <w:jc w:val="center"/>
        <w:rPr>
          <w:sz w:val="24"/>
          <w:szCs w:val="24"/>
        </w:rPr>
      </w:pPr>
    </w:p>
    <w:p w:rsidR="00C3380C" w:rsidRDefault="00427D81" w:rsidP="00427D8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Procedimiento: </w:t>
      </w:r>
      <w:r w:rsidR="00C3380C" w:rsidRPr="00C3380C">
        <w:rPr>
          <w:sz w:val="24"/>
          <w:szCs w:val="24"/>
        </w:rPr>
        <w:t xml:space="preserve">Conecte un terminal de lector HT de alta tensión en el canal A del </w:t>
      </w:r>
      <w:proofErr w:type="spellStart"/>
      <w:r w:rsidR="00C3380C" w:rsidRPr="00C3380C">
        <w:rPr>
          <w:sz w:val="24"/>
          <w:szCs w:val="24"/>
        </w:rPr>
        <w:t>PicoScope</w:t>
      </w:r>
      <w:proofErr w:type="spellEnd"/>
      <w:r w:rsidR="00C3380C" w:rsidRPr="00C3380C">
        <w:rPr>
          <w:sz w:val="24"/>
          <w:szCs w:val="24"/>
        </w:rPr>
        <w:t xml:space="preserve">, conecte el terminal con brida de cocodrilo en una toma de tierra adecuada y conecte la brida de cocodrilo HT en el terminal de la bobina (terminal </w:t>
      </w:r>
      <w:proofErr w:type="spellStart"/>
      <w:r w:rsidR="00C3380C" w:rsidRPr="00C3380C">
        <w:rPr>
          <w:sz w:val="24"/>
          <w:szCs w:val="24"/>
        </w:rPr>
        <w:t>king</w:t>
      </w:r>
      <w:proofErr w:type="spellEnd"/>
      <w:r w:rsidR="00C3380C" w:rsidRPr="00C3380C">
        <w:rPr>
          <w:sz w:val="24"/>
          <w:szCs w:val="24"/>
        </w:rPr>
        <w:t xml:space="preserve">). </w:t>
      </w:r>
    </w:p>
    <w:p w:rsidR="00427D81" w:rsidRDefault="00427D81" w:rsidP="00427D81">
      <w:pPr>
        <w:spacing w:after="0" w:line="240" w:lineRule="auto"/>
        <w:jc w:val="both"/>
        <w:rPr>
          <w:sz w:val="24"/>
          <w:szCs w:val="24"/>
        </w:rPr>
      </w:pPr>
    </w:p>
    <w:p w:rsidR="00CE1342" w:rsidRDefault="00427D81" w:rsidP="00CE1342">
      <w:pPr>
        <w:keepNext/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2743200" cy="1828800"/>
            <wp:effectExtent l="0" t="0" r="0" b="0"/>
            <wp:docPr id="5" name="Imagen 5" descr="https://www.miac.es/marcas/pico/develop/common/images/coil_l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iac.es/marcas/pico/develop/common/images/coil_le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D81" w:rsidRPr="00C3380C" w:rsidRDefault="00CE1342" w:rsidP="00CE1342">
      <w:pPr>
        <w:pStyle w:val="Descripcin"/>
        <w:jc w:val="center"/>
        <w:rPr>
          <w:color w:val="auto"/>
          <w:sz w:val="24"/>
          <w:szCs w:val="24"/>
        </w:rPr>
      </w:pPr>
      <w:r w:rsidRPr="00034B27">
        <w:t>Figura 1</w:t>
      </w:r>
      <w:r>
        <w:t>.</w:t>
      </w:r>
      <w:r w:rsidRPr="00034B27">
        <w:t xml:space="preserve"> </w:t>
      </w:r>
      <w:r>
        <w:t>M</w:t>
      </w:r>
      <w:r w:rsidRPr="00034B27">
        <w:t>uestra el terminal del lector HT conectado al terminal de la bobina del distribuidor.</w:t>
      </w:r>
    </w:p>
    <w:p w:rsidR="00C3380C" w:rsidRPr="00C3380C" w:rsidRDefault="00C3380C" w:rsidP="00427D81">
      <w:pPr>
        <w:spacing w:after="0" w:line="240" w:lineRule="auto"/>
        <w:jc w:val="both"/>
        <w:rPr>
          <w:sz w:val="24"/>
          <w:szCs w:val="24"/>
        </w:rPr>
      </w:pPr>
    </w:p>
    <w:p w:rsidR="00C3380C" w:rsidRPr="00C3380C" w:rsidRDefault="00C3380C" w:rsidP="00427D81">
      <w:pPr>
        <w:spacing w:after="0" w:line="240" w:lineRule="auto"/>
        <w:jc w:val="both"/>
        <w:rPr>
          <w:sz w:val="24"/>
          <w:szCs w:val="24"/>
        </w:rPr>
      </w:pPr>
      <w:r w:rsidRPr="00C3380C">
        <w:rPr>
          <w:sz w:val="24"/>
          <w:szCs w:val="24"/>
        </w:rPr>
        <w:t xml:space="preserve">Aunque es posible utilizar dos lectores HT y producir una forma de onda secundaria, activada por el cilindro número 1 (utilizando el canal B), sin la ayuda de un </w:t>
      </w:r>
      <w:proofErr w:type="spellStart"/>
      <w:r w:rsidRPr="00C3380C">
        <w:rPr>
          <w:sz w:val="24"/>
          <w:szCs w:val="24"/>
        </w:rPr>
        <w:t>accionador</w:t>
      </w:r>
      <w:proofErr w:type="spellEnd"/>
      <w:r w:rsidRPr="00C3380C">
        <w:rPr>
          <w:sz w:val="24"/>
          <w:szCs w:val="24"/>
        </w:rPr>
        <w:t xml:space="preserve"> de 720ª, la base de tiempo deberá alterarse constantemente para visualizar el número correcto de cilindros. Es mucho más sencillo observar las formas de onda HT de cada terminal individualmente e identificar cualquier discrepancia a partir de esta información.</w:t>
      </w:r>
    </w:p>
    <w:p w:rsidR="00C3380C" w:rsidRPr="00C3380C" w:rsidRDefault="00C3380C" w:rsidP="00427D81">
      <w:pPr>
        <w:spacing w:after="0" w:line="240" w:lineRule="auto"/>
        <w:jc w:val="both"/>
        <w:rPr>
          <w:sz w:val="24"/>
          <w:szCs w:val="24"/>
        </w:rPr>
      </w:pPr>
    </w:p>
    <w:p w:rsidR="00C3380C" w:rsidRPr="00427D81" w:rsidRDefault="00C3380C" w:rsidP="00427D81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427D81">
        <w:rPr>
          <w:b/>
          <w:sz w:val="24"/>
          <w:szCs w:val="24"/>
          <w:u w:val="single"/>
        </w:rPr>
        <w:t>Advertencia</w:t>
      </w:r>
    </w:p>
    <w:p w:rsidR="00C3380C" w:rsidRDefault="00C3380C" w:rsidP="00427D81">
      <w:pPr>
        <w:spacing w:after="0" w:line="240" w:lineRule="auto"/>
        <w:jc w:val="both"/>
        <w:rPr>
          <w:sz w:val="24"/>
          <w:szCs w:val="24"/>
        </w:rPr>
      </w:pPr>
      <w:r w:rsidRPr="00C3380C">
        <w:rPr>
          <w:sz w:val="24"/>
          <w:szCs w:val="24"/>
        </w:rPr>
        <w:t>Al acoplar o retirar los lectores de encendido secundarios de los terminales HT dañados, existe la posibilidad de que se produzca una descarga eléctrica. Para eliminar la posibilidad de que ocurra esto, acople y retire el lector de encendido secundario con el encendido desconectado.</w:t>
      </w:r>
    </w:p>
    <w:p w:rsidR="00427D81" w:rsidRDefault="00427D81" w:rsidP="00427D81">
      <w:pPr>
        <w:spacing w:after="0" w:line="240" w:lineRule="auto"/>
        <w:jc w:val="both"/>
        <w:rPr>
          <w:noProof/>
          <w:sz w:val="24"/>
          <w:szCs w:val="24"/>
        </w:rPr>
      </w:pPr>
    </w:p>
    <w:p w:rsidR="00427D81" w:rsidRDefault="00427D81" w:rsidP="00427D81">
      <w:pPr>
        <w:spacing w:after="0" w:line="240" w:lineRule="auto"/>
        <w:jc w:val="both"/>
        <w:rPr>
          <w:noProof/>
          <w:sz w:val="24"/>
          <w:szCs w:val="24"/>
        </w:rPr>
      </w:pPr>
    </w:p>
    <w:p w:rsidR="00427D81" w:rsidRDefault="00427D81" w:rsidP="00427D81">
      <w:pPr>
        <w:spacing w:after="0" w:line="240" w:lineRule="auto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Señal obtenida (un solo cilindro):</w:t>
      </w:r>
    </w:p>
    <w:p w:rsidR="00CE1342" w:rsidRDefault="00427D81" w:rsidP="00CE1342">
      <w:pPr>
        <w:keepNext/>
        <w:spacing w:after="0" w:line="240" w:lineRule="auto"/>
        <w:jc w:val="both"/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394960" cy="371856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371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D81" w:rsidRDefault="00CE1342" w:rsidP="00CE1342">
      <w:pPr>
        <w:pStyle w:val="Descripcin"/>
        <w:jc w:val="center"/>
        <w:rPr>
          <w:sz w:val="24"/>
          <w:szCs w:val="24"/>
        </w:rPr>
      </w:pPr>
      <w:r w:rsidRPr="005B5730">
        <w:t>Figura 2. Señal del secundario con distribuidor (terminal King)</w:t>
      </w:r>
    </w:p>
    <w:p w:rsidR="00CE1342" w:rsidRDefault="00CE1342" w:rsidP="00427D81">
      <w:pPr>
        <w:spacing w:after="0" w:line="240" w:lineRule="auto"/>
        <w:jc w:val="both"/>
        <w:rPr>
          <w:sz w:val="24"/>
          <w:szCs w:val="24"/>
        </w:rPr>
      </w:pPr>
    </w:p>
    <w:p w:rsidR="00427D81" w:rsidRDefault="00427D81" w:rsidP="00427D81">
      <w:pPr>
        <w:spacing w:after="0" w:line="240" w:lineRule="auto"/>
        <w:jc w:val="both"/>
        <w:rPr>
          <w:sz w:val="24"/>
          <w:szCs w:val="24"/>
        </w:rPr>
      </w:pPr>
      <w:r w:rsidRPr="00427D81">
        <w:rPr>
          <w:sz w:val="24"/>
          <w:szCs w:val="24"/>
        </w:rPr>
        <w:t xml:space="preserve">La imagen secundaria del encendido se muestra en la forma de onda </w:t>
      </w:r>
      <w:r w:rsidR="00CE1342">
        <w:rPr>
          <w:sz w:val="24"/>
          <w:szCs w:val="24"/>
        </w:rPr>
        <w:t>anterior</w:t>
      </w:r>
      <w:r w:rsidRPr="00427D81">
        <w:rPr>
          <w:sz w:val="24"/>
          <w:szCs w:val="24"/>
        </w:rPr>
        <w:t xml:space="preserve"> y es una imagen típica de un motor con encendido electrónico. La forma de onda se ha obtenido del terminal de la bobina (terminal </w:t>
      </w:r>
      <w:proofErr w:type="spellStart"/>
      <w:r w:rsidRPr="00427D81">
        <w:rPr>
          <w:sz w:val="24"/>
          <w:szCs w:val="24"/>
        </w:rPr>
        <w:t>king</w:t>
      </w:r>
      <w:proofErr w:type="spellEnd"/>
      <w:r w:rsidRPr="00427D81">
        <w:rPr>
          <w:sz w:val="24"/>
          <w:szCs w:val="24"/>
        </w:rPr>
        <w:t>).</w:t>
      </w:r>
    </w:p>
    <w:p w:rsidR="00CE1342" w:rsidRPr="00427D81" w:rsidRDefault="00CE1342" w:rsidP="00427D81">
      <w:pPr>
        <w:spacing w:after="0" w:line="240" w:lineRule="auto"/>
        <w:jc w:val="both"/>
        <w:rPr>
          <w:sz w:val="24"/>
          <w:szCs w:val="24"/>
        </w:rPr>
      </w:pPr>
    </w:p>
    <w:p w:rsidR="00CE1342" w:rsidRDefault="00427D81" w:rsidP="00427D81">
      <w:pPr>
        <w:spacing w:after="0" w:line="240" w:lineRule="auto"/>
        <w:jc w:val="both"/>
        <w:rPr>
          <w:sz w:val="24"/>
          <w:szCs w:val="24"/>
        </w:rPr>
      </w:pPr>
      <w:r w:rsidRPr="00427D81">
        <w:rPr>
          <w:sz w:val="24"/>
          <w:szCs w:val="24"/>
        </w:rPr>
        <w:t>La forma de onda secundaria muestra la longitud de tiempo durante la cual fluye a través del electrodo de la bujía después de que su tensión inicial pase por la holgura de la bujía. Este tiempo se corresponde con el "tiempo de quemado" o la "duración de la chispa". En la ilustración que se muestra puede verse que la línea de tensión horizontal del centro del osciloscopio tiene una tensión bastante constante de aproximadamente 4 kilovoltios (</w:t>
      </w:r>
      <w:proofErr w:type="spellStart"/>
      <w:r w:rsidRPr="00427D81">
        <w:rPr>
          <w:sz w:val="24"/>
          <w:szCs w:val="24"/>
        </w:rPr>
        <w:t>kV</w:t>
      </w:r>
      <w:proofErr w:type="spellEnd"/>
      <w:r w:rsidRPr="00427D81">
        <w:rPr>
          <w:sz w:val="24"/>
          <w:szCs w:val="24"/>
        </w:rPr>
        <w:t>), que después cae de forma rápida a lo que se conoce como periodo de "oscilación de bobina". El "tiempo de quemado" t</w:t>
      </w:r>
      <w:r w:rsidR="00CE1342">
        <w:rPr>
          <w:sz w:val="24"/>
          <w:szCs w:val="24"/>
        </w:rPr>
        <w:t>ambién aparece en la figura</w:t>
      </w:r>
      <w:r w:rsidRPr="00427D81">
        <w:rPr>
          <w:sz w:val="24"/>
          <w:szCs w:val="24"/>
        </w:rPr>
        <w:t>.</w:t>
      </w:r>
    </w:p>
    <w:p w:rsidR="00CE1342" w:rsidRDefault="00CE1342" w:rsidP="00427D81">
      <w:pPr>
        <w:spacing w:after="0" w:line="240" w:lineRule="auto"/>
        <w:jc w:val="both"/>
        <w:rPr>
          <w:sz w:val="24"/>
          <w:szCs w:val="24"/>
        </w:rPr>
      </w:pPr>
    </w:p>
    <w:p w:rsidR="00CE1342" w:rsidRDefault="00CE1342" w:rsidP="00427D81">
      <w:pPr>
        <w:spacing w:after="0" w:line="240" w:lineRule="auto"/>
        <w:jc w:val="both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19BC741" wp14:editId="1037E9A6">
                <wp:simplePos x="0" y="0"/>
                <wp:positionH relativeFrom="column">
                  <wp:posOffset>-236220</wp:posOffset>
                </wp:positionH>
                <wp:positionV relativeFrom="paragraph">
                  <wp:posOffset>2261235</wp:posOffset>
                </wp:positionV>
                <wp:extent cx="262890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1342" w:rsidRPr="00045971" w:rsidRDefault="00CE1342" w:rsidP="00CE1342">
                            <w:pPr>
                              <w:pStyle w:val="Descripcin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t>Figura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9BC741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left:0;text-align:left;margin-left:-18.6pt;margin-top:178.05pt;width:207pt;height:.0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mcENQIAAHQEAAAOAAAAZHJzL2Uyb0RvYy54bWysVMFu2zAMvQ/YPwi6r04zrOiCOkWWosOA&#10;oi3QDj0rslwbkEWNUmJ3X78n2W67bqdhF4UiqUfzPTJn50NnxcFwaMmV8vhoIYVxmqrWPZby+/3l&#10;h1MpQlSuUpacKeWTCfJ8/f7dWe9XZkkN2cqwAIgLq96XsonRr4oi6MZ0KhyRNw7BmrhTEVd+LCpW&#10;PdA7WywXi5OiJ648kzYhwHsxBuU649e10fGmroOJwpYS3xbzyfncpbNYn6nVIyvftHr6DPUPX9Gp&#10;1qHoM9SFikrsuf0Dqms1U6A6HmnqCqrrVpvcA7o5Xrzp5q5R3uReQE7wzzSF/werrw+3LNoK2oEe&#10;pzpotN2riklURkQzRBKIgKbehxWy7zzy4/CFBjyZ/QHO1P1Qc5d+0ZdAHIhPzyQDSmg4lyfL088L&#10;hDRiJx8/JYzi5annEL8a6kQySslQMBOrDlchjqlzSqoUyLbVZWttuqTA1rI4KKjdN200E/hvWdal&#10;XEfp1Qg4ekwel6lK6nbsKllx2A0TBTuqnsAA0zhKwevLFmWvVIi3ijE76Az7EG9w1Jb6UtJkSdEQ&#10;//ybP+VDUkSl6DGLpQw/9oqNFPabg9iAjLPBs7GbDbfvtoSGj7FpXmcTDzja2ayZugesySZVQUg5&#10;jVqljLO5jeNGYM202WxyEsbTq3jl7rxO0DO998ODYj+Jk8bjmuYpVas3Go25WSW/2UcQngVMhI4s&#10;Qvh0wWjnEZjWMO3O63vOevmzWP8CAAD//wMAUEsDBBQABgAIAAAAIQBtWkvL4QAAAAsBAAAPAAAA&#10;ZHJzL2Rvd25yZXYueG1sTI+xTsMwEIZ3JN7BOiQW1DpNSopCnKqqYIClInRhc+NrHIjtyHba8PYc&#10;XWC8u0//fX+5nkzPTuhD56yAxTwBhrZxqrOtgP378+wBWIjSKtk7iwK+McC6ur4qZaHc2b7hqY4t&#10;oxAbCilAxzgUnIdGo5Fh7ga0dDs6b2Sk0bdceXmmcNPzNElybmRn6YOWA241Nl/1aATslh87fTce&#10;n143y8y/7Mdt/tnWQtzeTJtHYBGn+AfDrz6pQ0VOBzdaFVgvYJatUkIFZPf5AhgR2SqnMofLJgVe&#10;lfx/h+oHAAD//wMAUEsBAi0AFAAGAAgAAAAhALaDOJL+AAAA4QEAABMAAAAAAAAAAAAAAAAAAAAA&#10;AFtDb250ZW50X1R5cGVzXS54bWxQSwECLQAUAAYACAAAACEAOP0h/9YAAACUAQAACwAAAAAAAAAA&#10;AAAAAAAvAQAAX3JlbHMvLnJlbHNQSwECLQAUAAYACAAAACEAk6pnBDUCAAB0BAAADgAAAAAAAAAA&#10;AAAAAAAuAgAAZHJzL2Uyb0RvYy54bWxQSwECLQAUAAYACAAAACEAbVpLy+EAAAALAQAADwAAAAAA&#10;AAAAAAAAAACPBAAAZHJzL2Rvd25yZXYueG1sUEsFBgAAAAAEAAQA8wAAAJ0FAAAAAA==&#10;" stroked="f">
                <v:textbox style="mso-fit-shape-to-text:t" inset="0,0,0,0">
                  <w:txbxContent>
                    <w:p w:rsidR="00CE1342" w:rsidRPr="00045971" w:rsidRDefault="00CE1342" w:rsidP="00CE1342">
                      <w:pPr>
                        <w:pStyle w:val="Descripcin"/>
                        <w:jc w:val="center"/>
                        <w:rPr>
                          <w:noProof/>
                        </w:rPr>
                      </w:pPr>
                      <w:r>
                        <w:t>Figura 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-236220</wp:posOffset>
            </wp:positionH>
            <wp:positionV relativeFrom="paragraph">
              <wp:posOffset>149225</wp:posOffset>
            </wp:positionV>
            <wp:extent cx="2628900" cy="2054860"/>
            <wp:effectExtent l="0" t="0" r="0" b="2540"/>
            <wp:wrapTight wrapText="bothSides">
              <wp:wrapPolygon edited="0">
                <wp:start x="0" y="0"/>
                <wp:lineTo x="0" y="21426"/>
                <wp:lineTo x="21443" y="21426"/>
                <wp:lineTo x="21443" y="0"/>
                <wp:lineTo x="0" y="0"/>
              </wp:wrapPolygon>
            </wp:wrapTight>
            <wp:docPr id="7" name="Imagen 7" descr="https://www.miac.es/marcas/pico/develop/hta/images/ht_burntime_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miac.es/marcas/pico/develop/hta/images/ht_burntime_es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05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1342" w:rsidRDefault="00CE1342" w:rsidP="00427D81">
      <w:pPr>
        <w:spacing w:after="0" w:line="240" w:lineRule="auto"/>
        <w:jc w:val="both"/>
        <w:rPr>
          <w:sz w:val="24"/>
          <w:szCs w:val="24"/>
        </w:rPr>
      </w:pPr>
    </w:p>
    <w:p w:rsidR="00CE1342" w:rsidRDefault="00CE1342" w:rsidP="00427D81">
      <w:pPr>
        <w:spacing w:after="0" w:line="240" w:lineRule="auto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9599BA9" wp14:editId="7DB59B8D">
                <wp:simplePos x="0" y="0"/>
                <wp:positionH relativeFrom="column">
                  <wp:posOffset>2440305</wp:posOffset>
                </wp:positionH>
                <wp:positionV relativeFrom="paragraph">
                  <wp:posOffset>1867535</wp:posOffset>
                </wp:positionV>
                <wp:extent cx="368808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808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1342" w:rsidRPr="009549C2" w:rsidRDefault="00CE1342" w:rsidP="00CE1342">
                            <w:pPr>
                              <w:pStyle w:val="Descripcin"/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t>Figura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599BA9" id="Cuadro de texto 11" o:spid="_x0000_s1027" type="#_x0000_t202" style="position:absolute;left:0;text-align:left;margin-left:192.15pt;margin-top:147.05pt;width:290.4pt;height:.0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vkVNwIAAHsEAAAOAAAAZHJzL2Uyb0RvYy54bWysVMFu2zAMvQ/YPwi6L05aLAiMOEWWIsOA&#10;oC2QFj0rshwbkESNUmJnXz9KttOt22nYRaZI6lF8j/LyrjOanRX6BmzBZ5MpZ8pKKBt7LPjL8/bT&#10;gjMfhC2FBqsKflGe360+fli2Llc3UIMuFTICsT5vXcHrEFyeZV7Wygg/AacsBStAIwJt8ZiVKFpC&#10;Nzq7mU7nWQtYOgSpvCfvfR/kq4RfVUqGx6ryKjBdcLpbSCum9RDXbLUU+RGFqxs5XEP8wy2MaCwV&#10;vULdiyDYCZs/oEwjETxUYSLBZFBVjVSpB+pmNn3Xzb4WTqVeiBzvrjT5/wcrH85PyJqStJtxZoUh&#10;jTYnUSKwUrGgugCMIkRT63xO2XtH+aH7Ah0dGf2enLH7rkITv9QXozgRfrmSTFBMkvN2vlhMFxSS&#10;FJvffo4Y2dtRhz58VWBYNAqOpGAiVpx3PvSpY0qs5EE35bbROm5iYKORnQWp3dZNUAP4b1naxlwL&#10;8VQP2HtUGpehSuy27ypaoTt0PUljxwcoL0QEQj9R3sltQ9V3wocngTRC1CA9i/BIS6WhLTgMFmc1&#10;4I+/+WM+KUtRzloayYL77yeBijP9zZLmcX5HA0fjMBr2ZDZAfZOMdJtk0gEMejQrBPNKr2Udq1BI&#10;WEm1Ch5GcxP6h0GvTar1OiXRlDoRdnbvZIQeWX7uXgW6QaM4JQ8wDqvI30nV5yax3PoUiPekY+S1&#10;Z5H0jxua8DQJw2uMT+jXfcp6+2esfgIAAP//AwBQSwMEFAAGAAgAAAAhAInTilHiAAAACwEAAA8A&#10;AABkcnMvZG93bnJldi54bWxMjz1PwzAQhnck/oN1SCyIOk1C1KZxqqqCAZaK0KWbG1+TQGxHttOG&#10;f8/RBbb7ePTec8V60j07o/OdNQLmswgYmtqqzjQC9h8vjwtgPkijZG8NCvhGD+vy9qaQubIX847n&#10;KjSMQozPpYA2hCHn3NctaulndkBDu5N1WgZqXcOVkxcK1z2PoyjjWnaGLrRywG2L9Vc1agG79LBr&#10;H8bT89smTdzrftxmn00lxP3dtFkBCziFPxh+9UkdSnI62tEoz3oBySJNCBUQL9M5MCKW2RMVx+sk&#10;Bl4W/P8P5Q8AAAD//wMAUEsBAi0AFAAGAAgAAAAhALaDOJL+AAAA4QEAABMAAAAAAAAAAAAAAAAA&#10;AAAAAFtDb250ZW50X1R5cGVzXS54bWxQSwECLQAUAAYACAAAACEAOP0h/9YAAACUAQAACwAAAAAA&#10;AAAAAAAAAAAvAQAAX3JlbHMvLnJlbHNQSwECLQAUAAYACAAAACEAPrL5FTcCAAB7BAAADgAAAAAA&#10;AAAAAAAAAAAuAgAAZHJzL2Uyb0RvYy54bWxQSwECLQAUAAYACAAAACEAidOKUeIAAAALAQAADwAA&#10;AAAAAAAAAAAAAACRBAAAZHJzL2Rvd25yZXYueG1sUEsFBgAAAAAEAAQA8wAAAKAFAAAAAA==&#10;" stroked="f">
                <v:textbox style="mso-fit-shape-to-text:t" inset="0,0,0,0">
                  <w:txbxContent>
                    <w:p w:rsidR="00CE1342" w:rsidRPr="009549C2" w:rsidRDefault="00CE1342" w:rsidP="00CE1342">
                      <w:pPr>
                        <w:pStyle w:val="Descripcin"/>
                        <w:jc w:val="center"/>
                        <w:rPr>
                          <w:noProof/>
                        </w:rPr>
                      </w:pPr>
                      <w:r>
                        <w:t>Figura 4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2440305</wp:posOffset>
            </wp:positionH>
            <wp:positionV relativeFrom="paragraph">
              <wp:posOffset>248285</wp:posOffset>
            </wp:positionV>
            <wp:extent cx="3688080" cy="1562100"/>
            <wp:effectExtent l="0" t="0" r="7620" b="0"/>
            <wp:wrapTight wrapText="bothSides">
              <wp:wrapPolygon edited="0">
                <wp:start x="0" y="0"/>
                <wp:lineTo x="0" y="21337"/>
                <wp:lineTo x="21533" y="21337"/>
                <wp:lineTo x="21533" y="0"/>
                <wp:lineTo x="0" y="0"/>
              </wp:wrapPolygon>
            </wp:wrapTight>
            <wp:docPr id="8" name="Imagen 8" descr="https://www.miac.es/marcas/pico/develop/hta/images/ht_oscillations_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miac.es/marcas/pico/develop/hta/images/ht_oscillations_es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8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1342" w:rsidRPr="00CE1342" w:rsidRDefault="00CE1342" w:rsidP="00CE1342">
      <w:pPr>
        <w:spacing w:after="0" w:line="240" w:lineRule="auto"/>
        <w:jc w:val="both"/>
        <w:rPr>
          <w:sz w:val="24"/>
          <w:szCs w:val="24"/>
        </w:rPr>
      </w:pPr>
      <w:r w:rsidRPr="00CE1342">
        <w:rPr>
          <w:sz w:val="24"/>
          <w:szCs w:val="24"/>
        </w:rPr>
        <w:t>El periodo de oscilación de la bobina (tal y c</w:t>
      </w:r>
      <w:r>
        <w:rPr>
          <w:sz w:val="24"/>
          <w:szCs w:val="24"/>
        </w:rPr>
        <w:t>omo se muestra en la figura 4</w:t>
      </w:r>
      <w:r w:rsidRPr="00CE1342">
        <w:rPr>
          <w:sz w:val="24"/>
          <w:szCs w:val="24"/>
        </w:rPr>
        <w:t>) debería mostrar un número máximo de picos (tanto superiores como inferiores) y un valor mínimo de 4 - 5. Una pérdida en los picos indica que la bobina debe ser sustituida. El periodo comprendido entre la oscilación de la bobina y el siguiente "descenso" se corresponde con el momento en el que la bobina está en reposo y no hay tensión en el circuito secundario de la bobina. El "descenso" se refiere a lo que se conoce como el "pico de polaridad", (tal y c</w:t>
      </w:r>
      <w:r>
        <w:rPr>
          <w:sz w:val="24"/>
          <w:szCs w:val="24"/>
        </w:rPr>
        <w:t>omo se ilustra en la figura 5</w:t>
      </w:r>
      <w:r w:rsidRPr="00CE1342">
        <w:rPr>
          <w:sz w:val="24"/>
          <w:szCs w:val="24"/>
        </w:rPr>
        <w:t>) y produce una pequeña oscilación en el sentido contrario a la tensión de activación de la bujía. Esto se debe a la activación inicial de la corriente principal de la bobina. La tensión de la bobina sólo se libera en el punto correcto de encendido y la chispa HT se enciende en la mezcla aire/combustible.</w:t>
      </w:r>
    </w:p>
    <w:p w:rsidR="00CE1342" w:rsidRPr="00CE1342" w:rsidRDefault="00CE1342" w:rsidP="00CE1342">
      <w:pPr>
        <w:spacing w:after="0" w:line="240" w:lineRule="auto"/>
        <w:jc w:val="both"/>
        <w:rPr>
          <w:sz w:val="24"/>
          <w:szCs w:val="24"/>
        </w:rPr>
      </w:pPr>
    </w:p>
    <w:p w:rsidR="00CE1342" w:rsidRDefault="00CE1342" w:rsidP="00CE1342">
      <w:pPr>
        <w:spacing w:after="0" w:line="240" w:lineRule="auto"/>
        <w:jc w:val="both"/>
        <w:rPr>
          <w:sz w:val="24"/>
          <w:szCs w:val="24"/>
        </w:rPr>
      </w:pPr>
      <w:r w:rsidRPr="00CE1342">
        <w:rPr>
          <w:sz w:val="24"/>
          <w:szCs w:val="24"/>
        </w:rPr>
        <w:t>La tensión de activación de la bujía es la tensión necesaria para saltar la holgura del electrodo de la bujía, normalmente conocida como "</w:t>
      </w:r>
      <w:proofErr w:type="spellStart"/>
      <w:r w:rsidRPr="00CE1342">
        <w:rPr>
          <w:sz w:val="24"/>
          <w:szCs w:val="24"/>
        </w:rPr>
        <w:t>kV</w:t>
      </w:r>
      <w:proofErr w:type="spellEnd"/>
      <w:r w:rsidRPr="00CE1342">
        <w:rPr>
          <w:sz w:val="24"/>
          <w:szCs w:val="24"/>
        </w:rPr>
        <w:t xml:space="preserve"> de la bujía". Esto </w:t>
      </w:r>
      <w:r w:rsidR="00597613">
        <w:rPr>
          <w:sz w:val="24"/>
          <w:szCs w:val="24"/>
        </w:rPr>
        <w:t>se muestra en la figura 2</w:t>
      </w:r>
      <w:r w:rsidRPr="00CE1342">
        <w:rPr>
          <w:sz w:val="24"/>
          <w:szCs w:val="24"/>
        </w:rPr>
        <w:t>, en este ejemp</w:t>
      </w:r>
      <w:r w:rsidR="00597613">
        <w:rPr>
          <w:sz w:val="24"/>
          <w:szCs w:val="24"/>
        </w:rPr>
        <w:t>lo, la tensión de la bujía es 19,33</w:t>
      </w:r>
      <w:r w:rsidRPr="00CE1342">
        <w:rPr>
          <w:sz w:val="24"/>
          <w:szCs w:val="24"/>
        </w:rPr>
        <w:t xml:space="preserve"> </w:t>
      </w:r>
      <w:proofErr w:type="spellStart"/>
      <w:r w:rsidRPr="00CE1342">
        <w:rPr>
          <w:sz w:val="24"/>
          <w:szCs w:val="24"/>
        </w:rPr>
        <w:t>kV</w:t>
      </w:r>
      <w:proofErr w:type="spellEnd"/>
      <w:r w:rsidRPr="00CE1342">
        <w:rPr>
          <w:sz w:val="24"/>
          <w:szCs w:val="24"/>
        </w:rPr>
        <w:t>.</w:t>
      </w:r>
    </w:p>
    <w:p w:rsidR="00597613" w:rsidRDefault="00597613" w:rsidP="00597613">
      <w:pPr>
        <w:keepNext/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2804160" cy="1530037"/>
            <wp:effectExtent l="0" t="0" r="0" b="0"/>
            <wp:docPr id="12" name="Imagen 12" descr="https://www.miac.es/marcas/pico/develop/hta/images/polarity_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miac.es/marcas/pico/develop/hta/images/polarity_es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174" cy="153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342" w:rsidRPr="00C3380C" w:rsidRDefault="00597613" w:rsidP="00597613">
      <w:pPr>
        <w:pStyle w:val="Descripcin"/>
        <w:jc w:val="center"/>
        <w:rPr>
          <w:color w:val="auto"/>
          <w:sz w:val="24"/>
          <w:szCs w:val="24"/>
        </w:rPr>
      </w:pPr>
      <w:r>
        <w:t>Figura 5</w:t>
      </w:r>
    </w:p>
    <w:sectPr w:rsidR="00CE1342" w:rsidRPr="00C3380C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732" w:rsidRDefault="00352732">
      <w:pPr>
        <w:spacing w:after="0" w:line="240" w:lineRule="auto"/>
      </w:pPr>
      <w:r>
        <w:separator/>
      </w:r>
    </w:p>
  </w:endnote>
  <w:endnote w:type="continuationSeparator" w:id="0">
    <w:p w:rsidR="00352732" w:rsidRDefault="00352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375" w:rsidRDefault="00927375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b/>
        <w:sz w:val="20"/>
        <w:szCs w:val="20"/>
      </w:rPr>
    </w:pPr>
  </w:p>
  <w:tbl>
    <w:tblPr>
      <w:tblStyle w:val="a1"/>
      <w:tblW w:w="8720" w:type="dxa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400" w:firstRow="0" w:lastRow="0" w:firstColumn="0" w:lastColumn="0" w:noHBand="0" w:noVBand="1"/>
    </w:tblPr>
    <w:tblGrid>
      <w:gridCol w:w="6083"/>
      <w:gridCol w:w="2637"/>
    </w:tblGrid>
    <w:tr w:rsidR="00927375">
      <w:tc>
        <w:tcPr>
          <w:tcW w:w="6083" w:type="dxa"/>
        </w:tcPr>
        <w:p w:rsidR="00927375" w:rsidRDefault="00927375">
          <w:pPr>
            <w:rPr>
              <w:i/>
              <w:sz w:val="18"/>
              <w:szCs w:val="18"/>
            </w:rPr>
          </w:pPr>
        </w:p>
      </w:tc>
      <w:tc>
        <w:tcPr>
          <w:tcW w:w="2637" w:type="dxa"/>
        </w:tcPr>
        <w:p w:rsidR="00927375" w:rsidRDefault="00E83C1D">
          <w:pPr>
            <w:jc w:val="right"/>
            <w:rPr>
              <w:i/>
              <w:sz w:val="18"/>
              <w:szCs w:val="18"/>
            </w:rPr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2E2031">
            <w:rPr>
              <w:noProof/>
            </w:rPr>
            <w:t>2</w:t>
          </w:r>
          <w:r>
            <w:fldChar w:fldCharType="end"/>
          </w:r>
        </w:p>
      </w:tc>
    </w:tr>
  </w:tbl>
  <w:p w:rsidR="00927375" w:rsidRDefault="00927375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732" w:rsidRDefault="00352732">
      <w:pPr>
        <w:spacing w:after="0" w:line="240" w:lineRule="auto"/>
      </w:pPr>
      <w:r>
        <w:separator/>
      </w:r>
    </w:p>
  </w:footnote>
  <w:footnote w:type="continuationSeparator" w:id="0">
    <w:p w:rsidR="00352732" w:rsidRDefault="00352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375" w:rsidRDefault="00927375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sz w:val="24"/>
        <w:szCs w:val="24"/>
      </w:rPr>
    </w:pPr>
  </w:p>
  <w:tbl>
    <w:tblPr>
      <w:tblStyle w:val="a0"/>
      <w:tblW w:w="8720" w:type="dxa"/>
      <w:tblInd w:w="0" w:type="dxa"/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  <w:tblLayout w:type="fixed"/>
      <w:tblLook w:val="0400" w:firstRow="0" w:lastRow="0" w:firstColumn="0" w:lastColumn="0" w:noHBand="0" w:noVBand="1"/>
    </w:tblPr>
    <w:tblGrid>
      <w:gridCol w:w="5637"/>
      <w:gridCol w:w="1842"/>
      <w:gridCol w:w="1241"/>
    </w:tblGrid>
    <w:tr w:rsidR="00927375">
      <w:trPr>
        <w:trHeight w:val="705"/>
      </w:trPr>
      <w:tc>
        <w:tcPr>
          <w:tcW w:w="5637" w:type="dxa"/>
          <w:vMerge w:val="restart"/>
          <w:vAlign w:val="center"/>
        </w:tcPr>
        <w:p w:rsidR="00927375" w:rsidRDefault="00E83C1D">
          <w:pPr>
            <w:spacing w:after="150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CREACIÓN DE CONTENIDO DE SEÑALES DE OSCILOSCOPIO EN EL AUTOMÓVIL</w:t>
          </w:r>
        </w:p>
      </w:tc>
      <w:tc>
        <w:tcPr>
          <w:tcW w:w="1842" w:type="dxa"/>
          <w:vAlign w:val="center"/>
        </w:tcPr>
        <w:p w:rsidR="00927375" w:rsidRDefault="00E83C1D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GRUPO DE TRABAJO</w:t>
          </w:r>
        </w:p>
      </w:tc>
      <w:tc>
        <w:tcPr>
          <w:tcW w:w="1241" w:type="dxa"/>
          <w:vMerge w:val="restart"/>
          <w:vAlign w:val="center"/>
        </w:tcPr>
        <w:p w:rsidR="00927375" w:rsidRDefault="00E83C1D">
          <w:pPr>
            <w:rPr>
              <w:b/>
              <w:sz w:val="20"/>
              <w:szCs w:val="20"/>
            </w:rPr>
          </w:pPr>
          <w:r>
            <w:rPr>
              <w:b/>
              <w:noProof/>
              <w:sz w:val="20"/>
              <w:szCs w:val="20"/>
            </w:rPr>
            <w:drawing>
              <wp:inline distT="114300" distB="114300" distL="114300" distR="114300">
                <wp:extent cx="657225" cy="76200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225" cy="762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927375">
      <w:trPr>
        <w:trHeight w:val="500"/>
      </w:trPr>
      <w:tc>
        <w:tcPr>
          <w:tcW w:w="5637" w:type="dxa"/>
          <w:vMerge/>
          <w:vAlign w:val="center"/>
        </w:tcPr>
        <w:p w:rsidR="00927375" w:rsidRDefault="00927375">
          <w:pPr>
            <w:jc w:val="center"/>
            <w:rPr>
              <w:b/>
              <w:sz w:val="20"/>
              <w:szCs w:val="20"/>
            </w:rPr>
          </w:pPr>
        </w:p>
      </w:tc>
      <w:tc>
        <w:tcPr>
          <w:tcW w:w="1842" w:type="dxa"/>
          <w:vAlign w:val="center"/>
        </w:tcPr>
        <w:p w:rsidR="00927375" w:rsidRDefault="00E83C1D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202922GT071</w:t>
          </w:r>
        </w:p>
      </w:tc>
      <w:tc>
        <w:tcPr>
          <w:tcW w:w="1241" w:type="dxa"/>
          <w:vMerge/>
          <w:vAlign w:val="center"/>
        </w:tcPr>
        <w:p w:rsidR="00927375" w:rsidRDefault="0092737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b/>
              <w:sz w:val="20"/>
              <w:szCs w:val="20"/>
            </w:rPr>
          </w:pPr>
        </w:p>
      </w:tc>
    </w:tr>
  </w:tbl>
  <w:p w:rsidR="00927375" w:rsidRDefault="00927375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5D1AA7"/>
    <w:multiLevelType w:val="multilevel"/>
    <w:tmpl w:val="7F22C97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7D337172"/>
    <w:multiLevelType w:val="multilevel"/>
    <w:tmpl w:val="EB5CAA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375"/>
    <w:rsid w:val="002E2031"/>
    <w:rsid w:val="00352732"/>
    <w:rsid w:val="00427D81"/>
    <w:rsid w:val="004C39F6"/>
    <w:rsid w:val="00597613"/>
    <w:rsid w:val="00927375"/>
    <w:rsid w:val="00C3380C"/>
    <w:rsid w:val="00CE1342"/>
    <w:rsid w:val="00E83C1D"/>
    <w:rsid w:val="00F8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0E226-AA9F-437F-9918-A4B265F43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Descripcin">
    <w:name w:val="caption"/>
    <w:basedOn w:val="Normal"/>
    <w:next w:val="Normal"/>
    <w:uiPriority w:val="35"/>
    <w:unhideWhenUsed/>
    <w:qFormat/>
    <w:rsid w:val="00CE1342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5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4</Pages>
  <Words>755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ANTONIO J. MEDINA TORRES</cp:lastModifiedBy>
  <cp:revision>4</cp:revision>
  <dcterms:created xsi:type="dcterms:W3CDTF">2020-05-12T18:15:00Z</dcterms:created>
  <dcterms:modified xsi:type="dcterms:W3CDTF">2020-05-13T15:42:00Z</dcterms:modified>
</cp:coreProperties>
</file>