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>Estructura de una tarea.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2"/>
        <w:gridCol w:w="2214"/>
        <w:gridCol w:w="642"/>
        <w:gridCol w:w="903"/>
        <w:gridCol w:w="989"/>
        <w:gridCol w:w="700"/>
        <w:gridCol w:w="1448"/>
        <w:gridCol w:w="7536"/>
        <w:gridCol w:w="156"/>
      </w:tblGrid>
      <w:tr w:rsidR="00773050" w:rsidRPr="00083804" w:rsidTr="00773050">
        <w:trPr>
          <w:tblCellSpacing w:w="0" w:type="dxa"/>
        </w:trPr>
        <w:tc>
          <w:tcPr>
            <w:tcW w:w="258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20" w:type="pct"/>
            <w:shd w:val="clear" w:color="auto" w:fill="auto"/>
          </w:tcPr>
          <w:p w:rsidR="00773050" w:rsidRPr="00083804" w:rsidRDefault="0035786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Biología y Geología</w:t>
            </w:r>
          </w:p>
        </w:tc>
        <w:tc>
          <w:tcPr>
            <w:tcW w:w="207" w:type="pct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294" w:type="pct"/>
            <w:shd w:val="clear" w:color="auto" w:fill="auto"/>
          </w:tcPr>
          <w:p w:rsidR="00773050" w:rsidRPr="00083804" w:rsidRDefault="0035786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1º ESO A</w:t>
            </w:r>
          </w:p>
        </w:tc>
        <w:tc>
          <w:tcPr>
            <w:tcW w:w="550" w:type="pct"/>
            <w:gridSpan w:val="2"/>
            <w:shd w:val="clear" w:color="auto" w:fill="E6E6FF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NOMBRE DE LA TAREA:</w:t>
            </w:r>
          </w:p>
        </w:tc>
        <w:tc>
          <w:tcPr>
            <w:tcW w:w="2971" w:type="pct"/>
            <w:gridSpan w:val="3"/>
            <w:shd w:val="clear" w:color="auto" w:fill="auto"/>
          </w:tcPr>
          <w:p w:rsidR="00773050" w:rsidRPr="00083804" w:rsidRDefault="0035786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Evolución geológica y medio ambiental</w:t>
            </w:r>
            <w:r w:rsidR="00BA5055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 </w:t>
            </w:r>
            <w:proofErr w:type="spellStart"/>
            <w:r w:rsidR="00BA5055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Olula</w:t>
            </w:r>
            <w:proofErr w:type="spellEnd"/>
            <w:r w:rsidR="00BA5055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 del Río</w:t>
            </w:r>
          </w:p>
        </w:tc>
      </w:tr>
      <w:tr w:rsidR="00773050" w:rsidRPr="00083804" w:rsidTr="00773050">
        <w:trPr>
          <w:trHeight w:val="207"/>
          <w:tblCellSpacing w:w="0" w:type="dxa"/>
        </w:trPr>
        <w:tc>
          <w:tcPr>
            <w:tcW w:w="5000" w:type="pct"/>
            <w:gridSpan w:val="9"/>
            <w:shd w:val="clear" w:color="auto" w:fill="E6E6FF"/>
            <w:hideMark/>
          </w:tcPr>
          <w:p w:rsidR="00773050" w:rsidRP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DESCRIPCIÓN DE LA </w:t>
            </w:r>
            <w:r w:rsidRPr="00083804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TAREA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</w:tr>
      <w:tr w:rsidR="00773050" w:rsidRPr="00083804" w:rsidTr="00773050">
        <w:trPr>
          <w:trHeight w:val="206"/>
          <w:tblCellSpacing w:w="0" w:type="dxa"/>
        </w:trPr>
        <w:tc>
          <w:tcPr>
            <w:tcW w:w="5000" w:type="pct"/>
            <w:gridSpan w:val="9"/>
            <w:shd w:val="clear" w:color="auto" w:fill="auto"/>
          </w:tcPr>
          <w:p w:rsidR="00773050" w:rsidRPr="0035786F" w:rsidRDefault="0035786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35786F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Los alumnos investigarán</w:t>
            </w:r>
            <w:r w:rsidR="00B86F73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 mediante internet, preguntas y cuestionarios de sus mayores</w:t>
            </w:r>
            <w:r w:rsidRPr="0035786F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 la evolución geológica que ha sufrido la zona a lo largo de la historia, así como las modificaciones medio ambientales de carácter antropológico que se han dado lugar con el proceso de industrialización </w:t>
            </w:r>
            <w:r w:rsidR="00B86F73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(industrias de la roca) </w:t>
            </w:r>
            <w:r w:rsidRPr="0035786F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de la zona donde viven.</w:t>
            </w:r>
          </w:p>
          <w:p w:rsidR="00773050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D56DF6" w:rsidRPr="00083804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OBJETIVOS:</w:t>
            </w:r>
          </w:p>
        </w:tc>
        <w:tc>
          <w:tcPr>
            <w:tcW w:w="2500" w:type="pct"/>
            <w:gridSpan w:val="2"/>
            <w:shd w:val="clear" w:color="auto" w:fill="E6E6FF"/>
          </w:tcPr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EVALUACIÓN:</w:t>
            </w:r>
          </w:p>
        </w:tc>
      </w:tr>
      <w:tr w:rsidR="00D56DF6" w:rsidRPr="00083804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:rsidR="00BA5055" w:rsidRPr="00BA5055" w:rsidRDefault="00BA5055" w:rsidP="00BA5055">
            <w:pPr>
              <w:pStyle w:val="Prrafodelista"/>
              <w:numPr>
                <w:ilvl w:val="0"/>
                <w:numId w:val="9"/>
              </w:numPr>
              <w:suppressAutoHyphens w:val="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BA5055">
              <w:rPr>
                <w:rFonts w:ascii="Calibri" w:hAnsi="Calibri" w:cs="Calibri"/>
                <w:bCs/>
                <w:sz w:val="16"/>
                <w:szCs w:val="16"/>
              </w:rPr>
              <w:t>Comprender la importancia de utilizar los conocimientos de la Biología y Geología para satisfacer las necesidades humanas y participar en la necesaria toma de decisiones en torno a problemas locales y globales a los que nos enfrentamos.</w:t>
            </w:r>
          </w:p>
          <w:p w:rsidR="00BA5055" w:rsidRPr="00BA5055" w:rsidRDefault="00BA5055" w:rsidP="00BA5055">
            <w:pPr>
              <w:pStyle w:val="Prrafodelista"/>
              <w:numPr>
                <w:ilvl w:val="0"/>
                <w:numId w:val="9"/>
              </w:numPr>
              <w:suppressAutoHyphens w:val="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BA5055">
              <w:rPr>
                <w:rFonts w:ascii="Calibri" w:hAnsi="Calibri" w:cs="Calibri"/>
                <w:bCs/>
                <w:sz w:val="16"/>
                <w:szCs w:val="16"/>
              </w:rPr>
              <w:t>Conocer y valorar las interacciones de la ciencia con la sociedad y el medio ambiente, con atención particular a los problemas a los que se enfrenta hoy la humanidad y la necesidad de búsqueda y aplicación de soluciones, sujetas al principio de precaución, para avanzar hacia un futuro sostenible.</w:t>
            </w:r>
          </w:p>
          <w:p w:rsidR="00BA5055" w:rsidRPr="00BA5055" w:rsidRDefault="00BA5055" w:rsidP="00BA5055">
            <w:pPr>
              <w:pStyle w:val="Prrafodelista"/>
              <w:numPr>
                <w:ilvl w:val="0"/>
                <w:numId w:val="9"/>
              </w:numPr>
              <w:suppressAutoHyphens w:val="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BA5055">
              <w:rPr>
                <w:rFonts w:ascii="Calibri" w:hAnsi="Calibri" w:cs="Calibri"/>
                <w:bCs/>
                <w:sz w:val="16"/>
                <w:szCs w:val="16"/>
              </w:rPr>
              <w:t>Reconocer el carácter tentativo y creativo de las ciencias de la naturaleza, así como sus aportaciones al pensamiento humano a lo largo de la historia, apreciando los grandes debates superadores de dogmatismos y las revoluciones científicas que han marcado la evolución cultural de la humanidad y sus condiciones de vida.</w:t>
            </w:r>
          </w:p>
          <w:p w:rsidR="00BA5055" w:rsidRPr="00BA5055" w:rsidRDefault="00BA5055" w:rsidP="00BA5055">
            <w:pPr>
              <w:pStyle w:val="Prrafodelista"/>
              <w:numPr>
                <w:ilvl w:val="0"/>
                <w:numId w:val="9"/>
              </w:numPr>
              <w:suppressAutoHyphens w:val="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BA5055">
              <w:rPr>
                <w:rFonts w:ascii="Calibri" w:hAnsi="Calibri" w:cs="Calibri"/>
                <w:bCs/>
                <w:sz w:val="16"/>
                <w:szCs w:val="16"/>
              </w:rPr>
              <w:t>Conocer y apreciar los elementos específicos del patrimonio natural de Andalucía para que sea valorado y respetado como patrimonio propio y a escala española y universal.</w:t>
            </w:r>
          </w:p>
          <w:p w:rsidR="00D56DF6" w:rsidRDefault="00D56DF6" w:rsidP="00BA5055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8774B9" w:rsidRPr="00B86F73" w:rsidRDefault="008774B9" w:rsidP="00B86F7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74B9">
              <w:rPr>
                <w:rFonts w:ascii="Calibri" w:hAnsi="Calibri" w:cs="Calibri"/>
                <w:sz w:val="16"/>
                <w:szCs w:val="16"/>
              </w:rPr>
              <w:t>Investigar y recabar información sobre los problemas de contaminación ambiental actuales y sus repercusiones, y desarrollar actitudes que contribuyan a su solución. CMCT, CD, CAA, CSC, SIEP.</w:t>
            </w:r>
          </w:p>
          <w:p w:rsidR="00B86F73" w:rsidRPr="00B86F73" w:rsidRDefault="00B86F73" w:rsidP="00B86F7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86F73">
              <w:rPr>
                <w:rFonts w:ascii="Calibri" w:hAnsi="Calibri" w:cs="Calibri"/>
                <w:sz w:val="16"/>
                <w:szCs w:val="16"/>
              </w:rPr>
              <w:t>Reconocer la importancia del papel protector de la atmósfera para los seres vivos y considerar las repercusiones de la actividad humana en la misma. CMCT, CSC, CEC.</w:t>
            </w:r>
          </w:p>
          <w:p w:rsidR="00B86F73" w:rsidRPr="00B86F73" w:rsidRDefault="00B86F73" w:rsidP="00B86F7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86F73">
              <w:rPr>
                <w:rFonts w:ascii="Calibri" w:hAnsi="Calibri" w:cs="Calibri"/>
                <w:sz w:val="16"/>
                <w:szCs w:val="16"/>
              </w:rPr>
              <w:t>Valorar la necesidad de una gestión sostenible del agua y de actuaciones personales, así como colectivas, que potencien la reducción en el consumo y su reutilización. CMCT, CSC.</w:t>
            </w:r>
          </w:p>
          <w:p w:rsidR="008774B9" w:rsidRPr="00B86F73" w:rsidRDefault="00B86F73" w:rsidP="00B86F7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86F73">
              <w:rPr>
                <w:rFonts w:ascii="Calibri" w:hAnsi="Calibri" w:cs="Calibri"/>
                <w:sz w:val="16"/>
                <w:szCs w:val="16"/>
              </w:rPr>
              <w:t>Justificar y argumentar la importancia de preservar y no contaminar las aguas dulces y saladas. CCL, CMCT, CSC.</w:t>
            </w:r>
          </w:p>
          <w:p w:rsidR="008774B9" w:rsidRPr="008774B9" w:rsidRDefault="008774B9" w:rsidP="008774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74B9">
              <w:rPr>
                <w:rFonts w:ascii="Calibri" w:hAnsi="Calibri" w:cs="Calibri"/>
                <w:sz w:val="16"/>
                <w:szCs w:val="16"/>
              </w:rPr>
              <w:t>Identificar en un ecosistema los factores desencadenantes de desequilibrios y establecer estrategias para restablecer el equilibrio del mismo. CMCT, CAA, CSC, CEC.</w:t>
            </w:r>
          </w:p>
          <w:p w:rsidR="008774B9" w:rsidRPr="008774B9" w:rsidRDefault="008774B9" w:rsidP="008774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74B9">
              <w:rPr>
                <w:rFonts w:ascii="Calibri" w:hAnsi="Calibri" w:cs="Calibri"/>
                <w:sz w:val="16"/>
                <w:szCs w:val="16"/>
              </w:rPr>
              <w:t>Reconocer y difundir acciones que favorecen la conservación del medio ambiente. CMCT, CSC, SIEP.</w:t>
            </w:r>
          </w:p>
          <w:p w:rsidR="008774B9" w:rsidRPr="008774B9" w:rsidRDefault="008774B9" w:rsidP="008774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74B9">
              <w:rPr>
                <w:rFonts w:ascii="Calibri" w:hAnsi="Calibri" w:cs="Calibri"/>
                <w:sz w:val="16"/>
                <w:szCs w:val="16"/>
              </w:rPr>
              <w:t>Valorar la importancia del suelo y los riesgos que comporta su sobreexplotación, degradación o pérdida. CMCT, CSC.</w:t>
            </w:r>
          </w:p>
          <w:p w:rsidR="008774B9" w:rsidRPr="008774B9" w:rsidRDefault="008774B9" w:rsidP="008774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74B9">
              <w:rPr>
                <w:rFonts w:ascii="Calibri" w:hAnsi="Calibri" w:cs="Calibri"/>
                <w:sz w:val="16"/>
                <w:szCs w:val="16"/>
              </w:rPr>
              <w:t>Reconocer y valorar la gran diversidad de ecosistemas que podemos encontrar en Andalucía. CMCT, CEC.</w:t>
            </w: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D56DF6" w:rsidRPr="00083804" w:rsidTr="00D56DF6">
        <w:trPr>
          <w:trHeight w:val="200"/>
          <w:tblCellSpacing w:w="0" w:type="dxa"/>
        </w:trPr>
        <w:tc>
          <w:tcPr>
            <w:tcW w:w="2500" w:type="pct"/>
            <w:gridSpan w:val="7"/>
            <w:shd w:val="clear" w:color="auto" w:fill="E6E6FF"/>
          </w:tcPr>
          <w:p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COMPETENCIAS CLAVE:</w:t>
            </w:r>
          </w:p>
        </w:tc>
        <w:tc>
          <w:tcPr>
            <w:tcW w:w="2500" w:type="pct"/>
            <w:gridSpan w:val="2"/>
            <w:shd w:val="clear" w:color="auto" w:fill="E6E6FF"/>
          </w:tcPr>
          <w:p w:rsidR="00D56DF6" w:rsidRDefault="00D56DF6" w:rsidP="00684ED8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APRENDIZAJE:</w:t>
            </w:r>
          </w:p>
        </w:tc>
      </w:tr>
      <w:tr w:rsidR="00D56DF6" w:rsidRPr="00083804" w:rsidTr="00D56DF6">
        <w:trPr>
          <w:trHeight w:val="199"/>
          <w:tblCellSpacing w:w="0" w:type="dxa"/>
        </w:trPr>
        <w:tc>
          <w:tcPr>
            <w:tcW w:w="2500" w:type="pct"/>
            <w:gridSpan w:val="7"/>
            <w:shd w:val="clear" w:color="auto" w:fill="auto"/>
          </w:tcPr>
          <w:p w:rsidR="0035786F" w:rsidRPr="0035786F" w:rsidRDefault="0035786F" w:rsidP="0035786F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8"/>
            </w:tblGrid>
            <w:tr w:rsidR="0035786F" w:rsidRPr="0035786F" w:rsidTr="0035786F">
              <w:tblPrEx>
                <w:tblCellMar>
                  <w:top w:w="0" w:type="dxa"/>
                  <w:bottom w:w="0" w:type="dxa"/>
                </w:tblCellMar>
              </w:tblPrEx>
              <w:trPr>
                <w:trHeight w:val="596"/>
              </w:trPr>
              <w:tc>
                <w:tcPr>
                  <w:tcW w:w="0" w:type="auto"/>
                </w:tcPr>
                <w:p w:rsidR="0035786F" w:rsidRPr="0035786F" w:rsidRDefault="0035786F" w:rsidP="0035786F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35786F">
                    <w:rPr>
                      <w:sz w:val="18"/>
                      <w:szCs w:val="18"/>
                    </w:rPr>
                    <w:t xml:space="preserve"> </w:t>
                  </w:r>
                  <w:r w:rsidRPr="0035786F">
                    <w:rPr>
                      <w:sz w:val="16"/>
                      <w:szCs w:val="16"/>
                    </w:rPr>
                    <w:t xml:space="preserve">Aprender a Aprender </w:t>
                  </w:r>
                </w:p>
                <w:p w:rsidR="0035786F" w:rsidRPr="0035786F" w:rsidRDefault="0035786F" w:rsidP="0035786F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35786F">
                    <w:rPr>
                      <w:sz w:val="16"/>
                      <w:szCs w:val="16"/>
                    </w:rPr>
                    <w:t xml:space="preserve">Competencia Social y Cívica </w:t>
                  </w:r>
                </w:p>
                <w:p w:rsidR="0035786F" w:rsidRPr="0035786F" w:rsidRDefault="0035786F" w:rsidP="0035786F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35786F">
                    <w:rPr>
                      <w:sz w:val="16"/>
                      <w:szCs w:val="16"/>
                    </w:rPr>
                    <w:t xml:space="preserve">Competencia Matemática y Ciencia y Tecnología </w:t>
                  </w:r>
                </w:p>
                <w:p w:rsidR="0035786F" w:rsidRPr="0035786F" w:rsidRDefault="0035786F" w:rsidP="0035786F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35786F">
                    <w:rPr>
                      <w:sz w:val="16"/>
                      <w:szCs w:val="16"/>
                    </w:rPr>
                    <w:t xml:space="preserve">Competencia Digital </w:t>
                  </w:r>
                </w:p>
                <w:p w:rsidR="0035786F" w:rsidRPr="0035786F" w:rsidRDefault="0035786F" w:rsidP="0035786F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35786F">
                    <w:rPr>
                      <w:sz w:val="16"/>
                      <w:szCs w:val="16"/>
                    </w:rPr>
                    <w:t xml:space="preserve">Competencia Lingüística </w:t>
                  </w:r>
                </w:p>
                <w:p w:rsidR="0035786F" w:rsidRPr="0035786F" w:rsidRDefault="0035786F" w:rsidP="0035786F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5786F">
                    <w:rPr>
                      <w:sz w:val="16"/>
                      <w:szCs w:val="16"/>
                    </w:rPr>
                    <w:t>Conciencia y Expresiones Culturales</w:t>
                  </w:r>
                  <w:r w:rsidRPr="0035786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B86F73" w:rsidRDefault="008774B9" w:rsidP="00B86F7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86F73">
              <w:rPr>
                <w:rFonts w:ascii="Calibri" w:hAnsi="Calibri" w:cs="Calibri"/>
                <w:sz w:val="16"/>
                <w:szCs w:val="16"/>
              </w:rPr>
              <w:t>Relaciona la contaminación ambiental con el deterioro del medio ambiente, proponiendo acciones y hábitos que contribuyan a su solución</w:t>
            </w:r>
            <w:r w:rsidRPr="00B86F73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86F73" w:rsidRPr="00B86F73" w:rsidRDefault="00B86F73" w:rsidP="00B86F7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86F73">
              <w:rPr>
                <w:rFonts w:ascii="Calibri" w:hAnsi="Calibri" w:cs="Calibri"/>
                <w:sz w:val="16"/>
                <w:szCs w:val="16"/>
              </w:rPr>
              <w:t>Relaciona situaciones en los que la actividad humana interfiera con la acción protectora de la atmósfera.</w:t>
            </w:r>
          </w:p>
          <w:p w:rsidR="00B86F73" w:rsidRPr="00B86F73" w:rsidRDefault="00B86F73" w:rsidP="00B86F7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86F73">
              <w:rPr>
                <w:rFonts w:ascii="Calibri" w:hAnsi="Calibri" w:cs="Calibri"/>
                <w:sz w:val="16"/>
                <w:szCs w:val="16"/>
              </w:rPr>
              <w:t>Comprende el significado de gestión sostenible del agua dulce, enumerando medidas concretas que colaboren en esa gestión.</w:t>
            </w:r>
          </w:p>
          <w:p w:rsidR="008774B9" w:rsidRPr="007D4459" w:rsidRDefault="00B86F73" w:rsidP="008774B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86F73">
              <w:rPr>
                <w:rFonts w:ascii="Calibri" w:hAnsi="Calibri" w:cs="Calibri"/>
                <w:sz w:val="16"/>
                <w:szCs w:val="16"/>
              </w:rPr>
              <w:t>Reconoce los problemas de contaminación de aguas dulces y saladas y las relaciona con las actividades humanas.</w:t>
            </w:r>
          </w:p>
          <w:p w:rsidR="008774B9" w:rsidRPr="007D4459" w:rsidRDefault="008774B9" w:rsidP="007D445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D4459">
              <w:rPr>
                <w:rFonts w:ascii="Calibri" w:hAnsi="Calibri" w:cs="Calibri"/>
                <w:sz w:val="16"/>
                <w:szCs w:val="16"/>
              </w:rPr>
              <w:t>Reconoce y enumera los factores desencadenantes de desequilibrios en un ecosistema.</w:t>
            </w:r>
          </w:p>
          <w:p w:rsidR="008774B9" w:rsidRPr="007D4459" w:rsidRDefault="008774B9" w:rsidP="007D445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D4459">
              <w:rPr>
                <w:rFonts w:ascii="Calibri" w:hAnsi="Calibri" w:cs="Calibri"/>
                <w:sz w:val="16"/>
                <w:szCs w:val="16"/>
              </w:rPr>
              <w:t>Selecciona acciones que previenen la destrucción del medioambiente.</w:t>
            </w:r>
          </w:p>
          <w:p w:rsidR="008774B9" w:rsidRPr="008774B9" w:rsidRDefault="008774B9" w:rsidP="007D445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774B9" w:rsidRPr="007D4459" w:rsidRDefault="008774B9" w:rsidP="007D4459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74B9">
              <w:rPr>
                <w:rFonts w:ascii="Calibri" w:hAnsi="Calibri" w:cs="Calibri"/>
                <w:sz w:val="16"/>
                <w:szCs w:val="16"/>
              </w:rPr>
              <w:t>Reconoce que el suelo es el resultado de la interacción entre los componentes bióticos y abióticos, señalando alguna de sus interacciones.</w:t>
            </w:r>
          </w:p>
          <w:p w:rsidR="008774B9" w:rsidRPr="008774B9" w:rsidRDefault="008774B9" w:rsidP="007D4459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74B9">
              <w:rPr>
                <w:rFonts w:ascii="Calibri" w:hAnsi="Calibri" w:cs="Calibri"/>
                <w:sz w:val="16"/>
                <w:szCs w:val="16"/>
              </w:rPr>
              <w:t>Reconoce la fragilidad del suelo y valora la necesidad de protegerlo.</w:t>
            </w:r>
          </w:p>
          <w:p w:rsidR="00D56DF6" w:rsidRDefault="00D56DF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6C38C6" w:rsidRPr="00083804" w:rsidTr="006C38C6">
        <w:trPr>
          <w:trHeight w:val="379"/>
          <w:tblCellSpacing w:w="0" w:type="dxa"/>
        </w:trPr>
        <w:tc>
          <w:tcPr>
            <w:tcW w:w="1801" w:type="pct"/>
            <w:gridSpan w:val="5"/>
            <w:shd w:val="clear" w:color="auto" w:fill="E6E6FF"/>
            <w:vAlign w:val="center"/>
            <w:hideMark/>
          </w:tcPr>
          <w:p w:rsidR="006C38C6" w:rsidRPr="00D56DF6" w:rsidRDefault="006C38C6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3148" w:type="pct"/>
            <w:gridSpan w:val="3"/>
            <w:shd w:val="clear" w:color="auto" w:fill="E6E6FF"/>
            <w:vAlign w:val="center"/>
            <w:hideMark/>
          </w:tcPr>
          <w:p w:rsidR="006C38C6" w:rsidRPr="00D56DF6" w:rsidRDefault="006C38C6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51" w:type="pct"/>
            <w:vMerge w:val="restart"/>
            <w:shd w:val="clear" w:color="auto" w:fill="E6E6FF"/>
            <w:vAlign w:val="center"/>
          </w:tcPr>
          <w:p w:rsidR="006C38C6" w:rsidRPr="00D56DF6" w:rsidRDefault="006C38C6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</w:p>
        </w:tc>
      </w:tr>
      <w:tr w:rsidR="006C38C6" w:rsidRPr="00083804" w:rsidTr="006C38C6">
        <w:trPr>
          <w:trHeight w:val="19"/>
          <w:tblCellSpacing w:w="0" w:type="dxa"/>
        </w:trPr>
        <w:tc>
          <w:tcPr>
            <w:tcW w:w="1801" w:type="pct"/>
            <w:gridSpan w:val="5"/>
          </w:tcPr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Default="00564B6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 Almanzora y sus afluentes, recursos hídricos.</w:t>
            </w:r>
          </w:p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:rsidR="007B0FBA" w:rsidRDefault="00D436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Por equipos deberán buscar información sobre el río Almanzora y sus </w:t>
            </w:r>
            <w:r w:rsidR="007B0FBA">
              <w:rPr>
                <w:rFonts w:ascii="Calibri" w:hAnsi="Calibri" w:cs="Times New Roman"/>
                <w:sz w:val="16"/>
                <w:szCs w:val="22"/>
                <w:lang w:eastAsia="es-ES"/>
              </w:rPr>
              <w:t>afluentes,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así como las modificaciones que ha sufrido con la aparición de los pueblos que se nutren o se han nutrido de este para el cultivo y </w:t>
            </w:r>
            <w:r w:rsidR="007B0FBA">
              <w:rPr>
                <w:rFonts w:ascii="Calibri" w:hAnsi="Calibri" w:cs="Times New Roman"/>
                <w:sz w:val="16"/>
                <w:szCs w:val="22"/>
                <w:lang w:eastAsia="es-ES"/>
              </w:rPr>
              <w:t>la industria de roca y minerales (canteras)</w:t>
            </w:r>
          </w:p>
          <w:p w:rsidR="006C38C6" w:rsidRPr="00083804" w:rsidRDefault="007B0FB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También deberán buscar el nivel de contaminación de este, así como su flora y fauna característica y autóctona. </w:t>
            </w:r>
          </w:p>
        </w:tc>
        <w:tc>
          <w:tcPr>
            <w:tcW w:w="51" w:type="pct"/>
            <w:vMerge/>
            <w:hideMark/>
          </w:tcPr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C38C6" w:rsidRPr="00083804" w:rsidTr="006C38C6">
        <w:trPr>
          <w:trHeight w:val="19"/>
          <w:tblCellSpacing w:w="0" w:type="dxa"/>
        </w:trPr>
        <w:tc>
          <w:tcPr>
            <w:tcW w:w="1801" w:type="pct"/>
            <w:gridSpan w:val="5"/>
          </w:tcPr>
          <w:p w:rsidR="006C38C6" w:rsidRPr="00083804" w:rsidRDefault="00564B6A" w:rsidP="007B0FB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La comarca del mármol, sobreexplotación de los suelos.</w:t>
            </w:r>
          </w:p>
        </w:tc>
        <w:tc>
          <w:tcPr>
            <w:tcW w:w="3148" w:type="pct"/>
            <w:gridSpan w:val="3"/>
          </w:tcPr>
          <w:p w:rsidR="006C38C6" w:rsidRPr="00083804" w:rsidRDefault="00D4369E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Encuesta y entrevistas a nuestros mayores de la zona. </w:t>
            </w:r>
          </w:p>
        </w:tc>
        <w:tc>
          <w:tcPr>
            <w:tcW w:w="51" w:type="pct"/>
            <w:vMerge/>
            <w:hideMark/>
          </w:tcPr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C38C6" w:rsidRPr="00083804" w:rsidTr="006C38C6">
        <w:trPr>
          <w:trHeight w:val="216"/>
          <w:tblCellSpacing w:w="0" w:type="dxa"/>
        </w:trPr>
        <w:tc>
          <w:tcPr>
            <w:tcW w:w="1801" w:type="pct"/>
            <w:gridSpan w:val="5"/>
          </w:tcPr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Pr="00083804" w:rsidRDefault="00564B6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B86F73">
              <w:rPr>
                <w:rFonts w:ascii="Calibri" w:hAnsi="Calibri" w:cs="Calibri"/>
                <w:sz w:val="16"/>
                <w:szCs w:val="16"/>
              </w:rPr>
              <w:t xml:space="preserve">ctividad humana </w:t>
            </w:r>
            <w:r>
              <w:rPr>
                <w:rFonts w:ascii="Calibri" w:hAnsi="Calibri" w:cs="Calibri"/>
                <w:sz w:val="16"/>
                <w:szCs w:val="16"/>
              </w:rPr>
              <w:t>y</w:t>
            </w:r>
            <w:r w:rsidRPr="00B86F73">
              <w:rPr>
                <w:rFonts w:ascii="Calibri" w:hAnsi="Calibri" w:cs="Calibri"/>
                <w:sz w:val="16"/>
                <w:szCs w:val="16"/>
              </w:rPr>
              <w:t xml:space="preserve"> la acción protectora de la atmósfera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3148" w:type="pct"/>
            <w:gridSpan w:val="3"/>
          </w:tcPr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C0331A" w:rsidRDefault="00C0331A" w:rsidP="00C0331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Por equipos deberán buscar información sobre 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 nivel de contaminación atmosférico de la zona y como afecta a nivel sanitario a las poblaciones de alrededor el vivir en una zona con una gran industria cerca.</w:t>
            </w:r>
          </w:p>
          <w:p w:rsidR="007B0FBA" w:rsidRPr="00083804" w:rsidRDefault="007B0FBA" w:rsidP="00C0331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51" w:type="pct"/>
            <w:vMerge/>
            <w:hideMark/>
          </w:tcPr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C38C6" w:rsidRPr="00083804" w:rsidTr="006C38C6">
        <w:trPr>
          <w:trHeight w:val="19"/>
          <w:tblCellSpacing w:w="0" w:type="dxa"/>
        </w:trPr>
        <w:tc>
          <w:tcPr>
            <w:tcW w:w="1801" w:type="pct"/>
            <w:gridSpan w:val="5"/>
          </w:tcPr>
          <w:p w:rsidR="007B0FBA" w:rsidRDefault="007B0FBA" w:rsidP="007B0FB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7B0FBA" w:rsidRDefault="007B0FBA" w:rsidP="007B0FB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Evolución Geológica del valle del Almanzora.</w:t>
            </w:r>
          </w:p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:rsidR="00C0331A" w:rsidRDefault="00C0331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Default="00C0331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Se realizará un mapa en el que se vean los cambios geológicos de la zona a lo largo de la evolución histórica de la tierra.</w:t>
            </w:r>
          </w:p>
          <w:p w:rsidR="00C0331A" w:rsidRPr="00083804" w:rsidRDefault="00C0331A" w:rsidP="00C0331A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También se realizará fichas técnicas de información sobre las especies de flora y fauna más características de la zona.</w:t>
            </w:r>
            <w:bookmarkStart w:id="0" w:name="_GoBack"/>
            <w:bookmarkEnd w:id="0"/>
          </w:p>
        </w:tc>
        <w:tc>
          <w:tcPr>
            <w:tcW w:w="51" w:type="pct"/>
            <w:vMerge/>
            <w:hideMark/>
          </w:tcPr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6C38C6" w:rsidRPr="00083804" w:rsidTr="006C38C6">
        <w:trPr>
          <w:tblCellSpacing w:w="0" w:type="dxa"/>
        </w:trPr>
        <w:tc>
          <w:tcPr>
            <w:tcW w:w="1801" w:type="pct"/>
            <w:gridSpan w:val="5"/>
          </w:tcPr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3148" w:type="pct"/>
            <w:gridSpan w:val="3"/>
          </w:tcPr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51" w:type="pct"/>
            <w:vMerge/>
            <w:hideMark/>
          </w:tcPr>
          <w:p w:rsidR="006C38C6" w:rsidRPr="00083804" w:rsidRDefault="006C38C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D9" w:rsidRDefault="005A64D9" w:rsidP="00345D8F">
      <w:pPr>
        <w:spacing w:after="0"/>
      </w:pPr>
      <w:r>
        <w:separator/>
      </w:r>
    </w:p>
  </w:endnote>
  <w:endnote w:type="continuationSeparator" w:id="0">
    <w:p w:rsidR="005A64D9" w:rsidRDefault="005A64D9" w:rsidP="00345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D9" w:rsidRDefault="005A64D9" w:rsidP="00345D8F">
      <w:pPr>
        <w:spacing w:after="0"/>
      </w:pPr>
      <w:r>
        <w:separator/>
      </w:r>
    </w:p>
  </w:footnote>
  <w:footnote w:type="continuationSeparator" w:id="0">
    <w:p w:rsidR="005A64D9" w:rsidRDefault="005A64D9" w:rsidP="00345D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8F" w:rsidRDefault="00345D8F" w:rsidP="006C38C6">
    <w:pPr>
      <w:pStyle w:val="Encabezado"/>
      <w:tabs>
        <w:tab w:val="clear" w:pos="4252"/>
        <w:tab w:val="clear" w:pos="8504"/>
        <w:tab w:val="left" w:pos="13680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6C401D1" wp14:editId="68869C05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D8F" w:rsidRDefault="00345D8F" w:rsidP="00345D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401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-4.3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" stroked="f">
              <v:textbox inset="0,0,0,0">
                <w:txbxContent>
                  <w:p w:rsidR="00345D8F" w:rsidRDefault="00345D8F" w:rsidP="00345D8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9A475C"/>
    <w:multiLevelType w:val="hybridMultilevel"/>
    <w:tmpl w:val="BE44D0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EA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90B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2208E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6B76DD"/>
    <w:multiLevelType w:val="multilevel"/>
    <w:tmpl w:val="ACEC7D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080"/>
      </w:pPr>
      <w:rPr>
        <w:rFonts w:hint="default"/>
      </w:rPr>
    </w:lvl>
  </w:abstractNum>
  <w:abstractNum w:abstractNumId="7" w15:restartNumberingAfterBreak="0">
    <w:nsid w:val="5DBC451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461830"/>
    <w:multiLevelType w:val="multilevel"/>
    <w:tmpl w:val="544EAE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0"/>
    <w:rsid w:val="00103B7F"/>
    <w:rsid w:val="00345D8F"/>
    <w:rsid w:val="0035786F"/>
    <w:rsid w:val="00564B6A"/>
    <w:rsid w:val="005A64D9"/>
    <w:rsid w:val="006C38C6"/>
    <w:rsid w:val="0074582F"/>
    <w:rsid w:val="00773050"/>
    <w:rsid w:val="007B0FBA"/>
    <w:rsid w:val="007D4459"/>
    <w:rsid w:val="008774B9"/>
    <w:rsid w:val="0091651C"/>
    <w:rsid w:val="009D0991"/>
    <w:rsid w:val="00B86F73"/>
    <w:rsid w:val="00BA5055"/>
    <w:rsid w:val="00C0331A"/>
    <w:rsid w:val="00D4369E"/>
    <w:rsid w:val="00D56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0B8A6"/>
  <w15:docId w15:val="{E4EDA7A3-15A6-4382-9E3F-8339AC0E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345D8F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5D8F"/>
  </w:style>
  <w:style w:type="paragraph" w:styleId="Piedepgina">
    <w:name w:val="footer"/>
    <w:basedOn w:val="Normal"/>
    <w:link w:val="PiedepginaCar"/>
    <w:uiPriority w:val="99"/>
    <w:unhideWhenUsed/>
    <w:rsid w:val="00345D8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8F"/>
  </w:style>
  <w:style w:type="character" w:customStyle="1" w:styleId="Ttulo6Car">
    <w:name w:val="Título 6 Car"/>
    <w:basedOn w:val="Fuentedeprrafopredeter"/>
    <w:link w:val="Ttulo6"/>
    <w:rsid w:val="00345D8F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customStyle="1" w:styleId="Default">
    <w:name w:val="Default"/>
    <w:rsid w:val="0035786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8774B9"/>
    <w:pPr>
      <w:suppressAutoHyphens/>
      <w:spacing w:after="0"/>
      <w:ind w:left="720"/>
      <w:contextualSpacing/>
    </w:pPr>
    <w:rPr>
      <w:rFonts w:ascii="Times New Roman" w:eastAsia="Times New Roman" w:hAnsi="Times New Roman" w:cs="Times New Roman"/>
      <w:kern w:val="1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Sara Martínez</cp:lastModifiedBy>
  <cp:revision>5</cp:revision>
  <dcterms:created xsi:type="dcterms:W3CDTF">2020-03-11T19:38:00Z</dcterms:created>
  <dcterms:modified xsi:type="dcterms:W3CDTF">2020-03-11T20:04:00Z</dcterms:modified>
</cp:coreProperties>
</file>