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E9" w:rsidRPr="003833E9" w:rsidRDefault="003833E9" w:rsidP="003833E9">
      <w:pPr>
        <w:rPr>
          <w:b/>
          <w:sz w:val="48"/>
        </w:rPr>
      </w:pPr>
      <w:r w:rsidRPr="003833E9">
        <w:rPr>
          <w:b/>
          <w:sz w:val="48"/>
        </w:rPr>
        <w:t>TAREA PARA EL ETCP:</w:t>
      </w:r>
    </w:p>
    <w:p w:rsidR="00E70721" w:rsidRPr="00E70721" w:rsidRDefault="003833E9" w:rsidP="008C47B3">
      <w:pPr>
        <w:pStyle w:val="NormalWeb"/>
        <w:jc w:val="both"/>
        <w:rPr>
          <w:rStyle w:val="Textoennegrita"/>
          <w:b w:val="0"/>
          <w:bCs w:val="0"/>
        </w:rPr>
      </w:pPr>
      <w:r w:rsidRPr="003833E9">
        <w:t>Revisar y adaptar</w:t>
      </w:r>
      <w:r w:rsidR="008C47B3">
        <w:rPr>
          <w:b/>
          <w:sz w:val="48"/>
        </w:rPr>
        <w:t xml:space="preserve"> </w:t>
      </w:r>
      <w:r w:rsidR="008C47B3">
        <w:t>especialmente d</w:t>
      </w:r>
      <w:r>
        <w:t>os puntos</w:t>
      </w:r>
      <w:r>
        <w:rPr>
          <w:rStyle w:val="Textoennegrita"/>
        </w:rPr>
        <w:t xml:space="preserve"> </w:t>
      </w:r>
    </w:p>
    <w:p w:rsidR="00E70721" w:rsidRDefault="003833E9" w:rsidP="00E70721">
      <w:pPr>
        <w:pStyle w:val="NormalWeb"/>
        <w:ind w:left="720"/>
        <w:jc w:val="both"/>
        <w:rPr>
          <w:rStyle w:val="Textoennegrita"/>
          <w:b w:val="0"/>
        </w:rPr>
      </w:pPr>
      <w:r>
        <w:rPr>
          <w:rStyle w:val="Textoennegrita"/>
        </w:rPr>
        <w:t xml:space="preserve">B) Líneas </w:t>
      </w:r>
      <w:r w:rsidR="00E70721">
        <w:rPr>
          <w:rStyle w:val="Textoennegrita"/>
        </w:rPr>
        <w:t xml:space="preserve">generales de actuación pedagógica. </w:t>
      </w:r>
      <w:r w:rsidR="00E70721" w:rsidRPr="00E70721">
        <w:rPr>
          <w:rStyle w:val="Textoennegrita"/>
          <w:b w:val="0"/>
        </w:rPr>
        <w:t>Llegar a acuerdos sobre</w:t>
      </w:r>
    </w:p>
    <w:p w:rsidR="00E70721" w:rsidRPr="003833E9" w:rsidRDefault="00E70721" w:rsidP="00E70721">
      <w:pPr>
        <w:pStyle w:val="Sinespaciado"/>
        <w:ind w:left="1416"/>
        <w:jc w:val="both"/>
        <w:rPr>
          <w:lang w:eastAsia="es-ES"/>
        </w:rPr>
      </w:pPr>
      <w:r w:rsidRPr="003833E9">
        <w:rPr>
          <w:b/>
          <w:bCs/>
          <w:lang w:eastAsia="es-ES"/>
        </w:rPr>
        <w:t>Principios reguladores</w:t>
      </w:r>
      <w:r w:rsidRPr="003833E9">
        <w:rPr>
          <w:lang w:eastAsia="es-ES"/>
        </w:rPr>
        <w:t xml:space="preserve"> </w:t>
      </w:r>
      <w:r w:rsidRPr="008C47B3">
        <w:rPr>
          <w:rStyle w:val="Textoennegrita"/>
          <w:rFonts w:ascii="Times New Roman" w:eastAsia="Times New Roman" w:hAnsi="Times New Roman" w:cs="Times New Roman"/>
          <w:b w:val="0"/>
          <w:szCs w:val="24"/>
        </w:rPr>
        <w:t>básicos que el centro entiende como propios.</w:t>
      </w:r>
    </w:p>
    <w:p w:rsidR="00E70721" w:rsidRPr="003833E9" w:rsidRDefault="00E70721" w:rsidP="00E70721">
      <w:pPr>
        <w:pStyle w:val="Sinespaciado"/>
        <w:ind w:left="1416"/>
        <w:jc w:val="both"/>
        <w:rPr>
          <w:lang w:eastAsia="es-ES"/>
        </w:rPr>
      </w:pPr>
      <w:r w:rsidRPr="003833E9">
        <w:rPr>
          <w:b/>
          <w:bCs/>
          <w:lang w:eastAsia="es-ES"/>
        </w:rPr>
        <w:t>Estrategias metodológicas</w:t>
      </w:r>
      <w:r w:rsidRPr="003833E9">
        <w:rPr>
          <w:lang w:eastAsia="es-ES"/>
        </w:rPr>
        <w:t xml:space="preserve"> </w:t>
      </w:r>
      <w:r w:rsidRPr="008C47B3">
        <w:rPr>
          <w:rStyle w:val="Textoennegrita"/>
          <w:rFonts w:ascii="Times New Roman" w:eastAsia="Times New Roman" w:hAnsi="Times New Roman" w:cs="Times New Roman"/>
          <w:b w:val="0"/>
          <w:szCs w:val="24"/>
        </w:rPr>
        <w:t>comunes. Aquí el papel del ETCP y FEIE es importante como garantes de la coordinación y la investigación e innovación educativa.</w:t>
      </w:r>
    </w:p>
    <w:p w:rsidR="00E70721" w:rsidRPr="003833E9" w:rsidRDefault="00E70721" w:rsidP="00E70721">
      <w:pPr>
        <w:pStyle w:val="Sinespaciado"/>
        <w:ind w:left="1416"/>
        <w:jc w:val="both"/>
        <w:rPr>
          <w:lang w:eastAsia="es-ES"/>
        </w:rPr>
      </w:pPr>
      <w:r w:rsidRPr="003833E9">
        <w:rPr>
          <w:b/>
          <w:bCs/>
          <w:lang w:eastAsia="es-ES"/>
        </w:rPr>
        <w:t>Uso de los recursos.</w:t>
      </w:r>
    </w:p>
    <w:p w:rsidR="00E70721" w:rsidRPr="00E70721" w:rsidRDefault="00E70721" w:rsidP="00E70721">
      <w:pPr>
        <w:pStyle w:val="Sinespaciado"/>
        <w:ind w:left="1416"/>
        <w:jc w:val="both"/>
        <w:rPr>
          <w:b/>
          <w:lang w:eastAsia="es-ES"/>
        </w:rPr>
      </w:pPr>
      <w:r w:rsidRPr="00E70721">
        <w:rPr>
          <w:b/>
          <w:lang w:eastAsia="es-ES"/>
        </w:rPr>
        <w:t>Otros.</w:t>
      </w:r>
    </w:p>
    <w:p w:rsidR="00E70721" w:rsidRDefault="003833E9" w:rsidP="00E70721">
      <w:pPr>
        <w:spacing w:before="100" w:beforeAutospacing="1" w:after="100" w:afterAutospacing="1" w:line="240" w:lineRule="auto"/>
        <w:ind w:left="708"/>
        <w:jc w:val="both"/>
        <w:rPr>
          <w:rFonts w:ascii="Times New Roman" w:eastAsia="Times New Roman" w:hAnsi="Times New Roman" w:cs="Times New Roman"/>
          <w:sz w:val="24"/>
          <w:szCs w:val="24"/>
          <w:lang w:eastAsia="es-ES"/>
        </w:rPr>
      </w:pPr>
      <w:r w:rsidRPr="00E70721">
        <w:rPr>
          <w:rStyle w:val="Textoennegrita"/>
          <w:rFonts w:ascii="Times New Roman" w:eastAsia="Times New Roman" w:hAnsi="Times New Roman" w:cs="Times New Roman"/>
          <w:sz w:val="24"/>
          <w:szCs w:val="24"/>
          <w:lang w:eastAsia="es-ES"/>
        </w:rPr>
        <w:t xml:space="preserve">E) </w:t>
      </w:r>
      <w:r w:rsidR="00E70721" w:rsidRPr="00E70721">
        <w:rPr>
          <w:rStyle w:val="Textoennegrita"/>
          <w:rFonts w:ascii="Times New Roman" w:eastAsia="Times New Roman" w:hAnsi="Times New Roman" w:cs="Times New Roman"/>
          <w:sz w:val="24"/>
          <w:szCs w:val="24"/>
          <w:lang w:eastAsia="es-ES"/>
        </w:rPr>
        <w:t>Los procedimientos y criterios de evaluación comunes, promoción del alumnado y titulación.</w:t>
      </w:r>
      <w:r w:rsidR="00E70721">
        <w:t xml:space="preserve"> </w:t>
      </w:r>
      <w:r w:rsidR="00E70721" w:rsidRPr="008C47B3">
        <w:rPr>
          <w:rFonts w:ascii="Times New Roman" w:eastAsia="Times New Roman" w:hAnsi="Times New Roman" w:cs="Times New Roman"/>
          <w:szCs w:val="24"/>
          <w:lang w:eastAsia="es-ES"/>
        </w:rPr>
        <w:t>Acuerdos de mínimos sobre la evaluación, que proporcion</w:t>
      </w:r>
      <w:r w:rsidR="008C47B3" w:rsidRPr="008C47B3">
        <w:rPr>
          <w:rFonts w:ascii="Times New Roman" w:eastAsia="Times New Roman" w:hAnsi="Times New Roman" w:cs="Times New Roman"/>
          <w:szCs w:val="24"/>
          <w:lang w:eastAsia="es-ES"/>
        </w:rPr>
        <w:t>e</w:t>
      </w:r>
      <w:r w:rsidR="00E70721" w:rsidRPr="008C47B3">
        <w:rPr>
          <w:rFonts w:ascii="Times New Roman" w:eastAsia="Times New Roman" w:hAnsi="Times New Roman" w:cs="Times New Roman"/>
          <w:szCs w:val="24"/>
          <w:lang w:eastAsia="es-ES"/>
        </w:rPr>
        <w:t>n un marco del que partan los distintos departamentos, pero que pueda ser desarrollado por estos para adoptarlo a la idiosincrasia de cada materia, pues la variabilidad es grande:</w:t>
      </w:r>
    </w:p>
    <w:p w:rsidR="00E70721" w:rsidRPr="008C47B3" w:rsidRDefault="00E70721" w:rsidP="00E70721">
      <w:pPr>
        <w:numPr>
          <w:ilvl w:val="0"/>
          <w:numId w:val="5"/>
        </w:numPr>
        <w:spacing w:before="100" w:beforeAutospacing="1" w:after="100" w:afterAutospacing="1" w:line="240" w:lineRule="auto"/>
        <w:rPr>
          <w:rFonts w:ascii="Times New Roman" w:eastAsia="Times New Roman" w:hAnsi="Times New Roman" w:cs="Times New Roman"/>
          <w:szCs w:val="24"/>
          <w:lang w:eastAsia="es-ES"/>
        </w:rPr>
      </w:pPr>
      <w:r w:rsidRPr="008C47B3">
        <w:rPr>
          <w:rFonts w:ascii="Times New Roman" w:eastAsia="Times New Roman" w:hAnsi="Times New Roman" w:cs="Times New Roman"/>
          <w:b/>
          <w:szCs w:val="24"/>
          <w:lang w:eastAsia="es-ES"/>
        </w:rPr>
        <w:t>SESIONES DE EVALUACIÓN</w:t>
      </w:r>
      <w:r w:rsidRPr="008C47B3">
        <w:rPr>
          <w:rFonts w:ascii="Times New Roman" w:eastAsia="Times New Roman" w:hAnsi="Times New Roman" w:cs="Times New Roman"/>
          <w:szCs w:val="24"/>
          <w:lang w:eastAsia="es-ES"/>
        </w:rPr>
        <w:t>: Cuántas, cómo se desarrollan, puntos a abordar, cómo se recoge la información, quién la coordina en ausencia no prevista del tutor/a, actas...</w:t>
      </w:r>
    </w:p>
    <w:p w:rsidR="00E70721" w:rsidRPr="008C47B3" w:rsidRDefault="00E70721" w:rsidP="00E70721">
      <w:pPr>
        <w:numPr>
          <w:ilvl w:val="0"/>
          <w:numId w:val="5"/>
        </w:numPr>
        <w:spacing w:before="100" w:beforeAutospacing="1" w:after="100" w:afterAutospacing="1" w:line="240" w:lineRule="auto"/>
        <w:rPr>
          <w:rFonts w:ascii="Times New Roman" w:eastAsia="Times New Roman" w:hAnsi="Times New Roman" w:cs="Times New Roman"/>
          <w:szCs w:val="24"/>
          <w:lang w:eastAsia="es-ES"/>
        </w:rPr>
      </w:pPr>
      <w:r w:rsidRPr="008C47B3">
        <w:rPr>
          <w:rFonts w:ascii="Times New Roman" w:eastAsia="Times New Roman" w:hAnsi="Times New Roman" w:cs="Times New Roman"/>
          <w:b/>
          <w:szCs w:val="24"/>
          <w:lang w:eastAsia="es-ES"/>
        </w:rPr>
        <w:t>EVALUACIÓN INICIAL</w:t>
      </w:r>
      <w:r w:rsidRPr="008C47B3">
        <w:rPr>
          <w:rFonts w:ascii="Times New Roman" w:eastAsia="Times New Roman" w:hAnsi="Times New Roman" w:cs="Times New Roman"/>
          <w:szCs w:val="24"/>
          <w:lang w:eastAsia="es-ES"/>
        </w:rPr>
        <w:t>: Cuándo, qué carácter tiene, cómo se comunican resultados, formato...</w:t>
      </w:r>
    </w:p>
    <w:p w:rsidR="00E70721" w:rsidRPr="008C47B3" w:rsidRDefault="00E70721" w:rsidP="00E70721">
      <w:pPr>
        <w:numPr>
          <w:ilvl w:val="0"/>
          <w:numId w:val="5"/>
        </w:numPr>
        <w:spacing w:before="100" w:beforeAutospacing="1" w:after="100" w:afterAutospacing="1" w:line="240" w:lineRule="auto"/>
        <w:rPr>
          <w:rFonts w:ascii="Times New Roman" w:eastAsia="Times New Roman" w:hAnsi="Times New Roman" w:cs="Times New Roman"/>
          <w:b/>
          <w:szCs w:val="24"/>
          <w:lang w:eastAsia="es-ES"/>
        </w:rPr>
      </w:pPr>
      <w:r w:rsidRPr="008C47B3">
        <w:rPr>
          <w:rFonts w:ascii="Times New Roman" w:eastAsia="Times New Roman" w:hAnsi="Times New Roman" w:cs="Times New Roman"/>
          <w:b/>
          <w:szCs w:val="24"/>
          <w:lang w:eastAsia="es-ES"/>
        </w:rPr>
        <w:t>EVALUACIÓN  DE ALUMNADO CON NEAE.</w:t>
      </w:r>
    </w:p>
    <w:p w:rsidR="00E70721" w:rsidRPr="008C47B3" w:rsidRDefault="00E70721" w:rsidP="00E70721">
      <w:pPr>
        <w:numPr>
          <w:ilvl w:val="0"/>
          <w:numId w:val="5"/>
        </w:numPr>
        <w:spacing w:before="100" w:beforeAutospacing="1" w:after="100" w:afterAutospacing="1" w:line="240" w:lineRule="auto"/>
        <w:rPr>
          <w:rFonts w:ascii="Times New Roman" w:eastAsia="Times New Roman" w:hAnsi="Times New Roman" w:cs="Times New Roman"/>
          <w:b/>
          <w:szCs w:val="24"/>
          <w:lang w:eastAsia="es-ES"/>
        </w:rPr>
      </w:pPr>
      <w:r w:rsidRPr="008C47B3">
        <w:rPr>
          <w:rFonts w:ascii="Times New Roman" w:eastAsia="Times New Roman" w:hAnsi="Times New Roman" w:cs="Times New Roman"/>
          <w:b/>
          <w:szCs w:val="24"/>
          <w:lang w:eastAsia="es-ES"/>
        </w:rPr>
        <w:t>ACUERDOS DE EVALUACIÓN COMUNES.</w:t>
      </w:r>
    </w:p>
    <w:p w:rsidR="00E70721" w:rsidRPr="008C47B3" w:rsidRDefault="00E70721" w:rsidP="00E70721">
      <w:pPr>
        <w:numPr>
          <w:ilvl w:val="0"/>
          <w:numId w:val="5"/>
        </w:numPr>
        <w:spacing w:before="100" w:beforeAutospacing="1" w:after="100" w:afterAutospacing="1" w:line="240" w:lineRule="auto"/>
        <w:rPr>
          <w:rFonts w:ascii="Times New Roman" w:eastAsia="Times New Roman" w:hAnsi="Times New Roman" w:cs="Times New Roman"/>
          <w:b/>
          <w:szCs w:val="24"/>
          <w:lang w:eastAsia="es-ES"/>
        </w:rPr>
      </w:pPr>
      <w:r w:rsidRPr="008C47B3">
        <w:rPr>
          <w:rFonts w:ascii="Times New Roman" w:eastAsia="Times New Roman" w:hAnsi="Times New Roman" w:cs="Times New Roman"/>
          <w:b/>
          <w:szCs w:val="24"/>
          <w:lang w:eastAsia="es-ES"/>
        </w:rPr>
        <w:t>CRITERIOS DE CALIFICACIÓN COMUNES.</w:t>
      </w:r>
    </w:p>
    <w:p w:rsidR="00E70721" w:rsidRPr="008C47B3" w:rsidRDefault="00E70721" w:rsidP="00E70721">
      <w:pPr>
        <w:numPr>
          <w:ilvl w:val="0"/>
          <w:numId w:val="5"/>
        </w:numPr>
        <w:spacing w:before="100" w:beforeAutospacing="1" w:after="100" w:afterAutospacing="1" w:line="240" w:lineRule="auto"/>
        <w:rPr>
          <w:rFonts w:ascii="Times New Roman" w:eastAsia="Times New Roman" w:hAnsi="Times New Roman" w:cs="Times New Roman"/>
          <w:szCs w:val="24"/>
          <w:lang w:eastAsia="es-ES"/>
        </w:rPr>
      </w:pPr>
      <w:r w:rsidRPr="008C47B3">
        <w:rPr>
          <w:rFonts w:ascii="Times New Roman" w:eastAsia="Times New Roman" w:hAnsi="Times New Roman" w:cs="Times New Roman"/>
          <w:b/>
          <w:szCs w:val="24"/>
          <w:lang w:eastAsia="es-ES"/>
        </w:rPr>
        <w:t>INSTRUMENTOS DE EVALUACIÓN</w:t>
      </w:r>
      <w:r w:rsidRPr="008C47B3">
        <w:rPr>
          <w:rFonts w:ascii="Times New Roman" w:eastAsia="Times New Roman" w:hAnsi="Times New Roman" w:cs="Times New Roman"/>
          <w:szCs w:val="24"/>
          <w:lang w:eastAsia="es-ES"/>
        </w:rPr>
        <w:t>: Cómo los define el centro, número mínimo a utilizar...</w:t>
      </w:r>
    </w:p>
    <w:p w:rsidR="00E70721" w:rsidRPr="008C47B3" w:rsidRDefault="00E70721" w:rsidP="00E70721">
      <w:pPr>
        <w:numPr>
          <w:ilvl w:val="0"/>
          <w:numId w:val="5"/>
        </w:numPr>
        <w:spacing w:before="100" w:beforeAutospacing="1" w:after="100" w:afterAutospacing="1" w:line="240" w:lineRule="auto"/>
        <w:rPr>
          <w:rFonts w:ascii="Times New Roman" w:eastAsia="Times New Roman" w:hAnsi="Times New Roman" w:cs="Times New Roman"/>
          <w:szCs w:val="24"/>
          <w:lang w:eastAsia="es-ES"/>
        </w:rPr>
      </w:pPr>
      <w:r w:rsidRPr="008C47B3">
        <w:rPr>
          <w:rFonts w:ascii="Times New Roman" w:eastAsia="Times New Roman" w:hAnsi="Times New Roman" w:cs="Times New Roman"/>
          <w:b/>
          <w:szCs w:val="24"/>
          <w:lang w:eastAsia="es-ES"/>
        </w:rPr>
        <w:t>INFORMACIÓN AL ALUMNADO Y FAMILIAS</w:t>
      </w:r>
      <w:r w:rsidRPr="008C47B3">
        <w:rPr>
          <w:rFonts w:ascii="Times New Roman" w:eastAsia="Times New Roman" w:hAnsi="Times New Roman" w:cs="Times New Roman"/>
          <w:szCs w:val="24"/>
          <w:lang w:eastAsia="es-ES"/>
        </w:rPr>
        <w:t>: Medios, momento...</w:t>
      </w:r>
    </w:p>
    <w:p w:rsidR="00E70721" w:rsidRPr="008C47B3" w:rsidRDefault="00E70721" w:rsidP="00E70721">
      <w:pPr>
        <w:numPr>
          <w:ilvl w:val="0"/>
          <w:numId w:val="5"/>
        </w:numPr>
        <w:spacing w:before="100" w:beforeAutospacing="1" w:after="100" w:afterAutospacing="1" w:line="240" w:lineRule="auto"/>
        <w:rPr>
          <w:rFonts w:ascii="Times New Roman" w:eastAsia="Times New Roman" w:hAnsi="Times New Roman" w:cs="Times New Roman"/>
          <w:szCs w:val="24"/>
          <w:lang w:eastAsia="es-ES"/>
        </w:rPr>
      </w:pPr>
      <w:r w:rsidRPr="008C47B3">
        <w:rPr>
          <w:rFonts w:ascii="Times New Roman" w:eastAsia="Times New Roman" w:hAnsi="Times New Roman" w:cs="Times New Roman"/>
          <w:b/>
          <w:szCs w:val="24"/>
          <w:lang w:eastAsia="es-ES"/>
        </w:rPr>
        <w:t>PROMOCIÓN Y TITULACIÓN</w:t>
      </w:r>
      <w:r w:rsidRPr="008C47B3">
        <w:rPr>
          <w:rFonts w:ascii="Times New Roman" w:eastAsia="Times New Roman" w:hAnsi="Times New Roman" w:cs="Times New Roman"/>
          <w:szCs w:val="24"/>
          <w:lang w:eastAsia="es-ES"/>
        </w:rPr>
        <w:t xml:space="preserve">. Excepcionalidad  o no excepcionalidad. </w:t>
      </w:r>
    </w:p>
    <w:p w:rsidR="00E70721" w:rsidRPr="008C47B3" w:rsidRDefault="00E70721" w:rsidP="00E70721">
      <w:pPr>
        <w:spacing w:before="100" w:beforeAutospacing="1" w:after="100" w:afterAutospacing="1" w:line="240" w:lineRule="auto"/>
        <w:rPr>
          <w:rFonts w:ascii="Times New Roman" w:eastAsia="Times New Roman" w:hAnsi="Times New Roman" w:cs="Times New Roman"/>
          <w:szCs w:val="24"/>
          <w:lang w:eastAsia="es-ES"/>
        </w:rPr>
      </w:pPr>
      <w:r w:rsidRPr="008C47B3">
        <w:rPr>
          <w:rFonts w:ascii="Times New Roman" w:eastAsia="Times New Roman" w:hAnsi="Times New Roman" w:cs="Times New Roman"/>
          <w:szCs w:val="24"/>
          <w:lang w:eastAsia="es-ES"/>
        </w:rPr>
        <w:t>Algunos acuerdos imprescindibles serían:</w:t>
      </w:r>
    </w:p>
    <w:p w:rsidR="00E70721" w:rsidRPr="008C47B3" w:rsidRDefault="00E70721" w:rsidP="00E70721">
      <w:pPr>
        <w:numPr>
          <w:ilvl w:val="0"/>
          <w:numId w:val="6"/>
        </w:numPr>
        <w:spacing w:before="100" w:beforeAutospacing="1" w:after="100" w:afterAutospacing="1" w:line="240" w:lineRule="auto"/>
        <w:rPr>
          <w:rFonts w:ascii="Times New Roman" w:eastAsia="Times New Roman" w:hAnsi="Times New Roman" w:cs="Times New Roman"/>
          <w:szCs w:val="24"/>
          <w:lang w:eastAsia="es-ES"/>
        </w:rPr>
      </w:pPr>
      <w:r w:rsidRPr="008C47B3">
        <w:rPr>
          <w:rFonts w:ascii="Times New Roman" w:eastAsia="Times New Roman" w:hAnsi="Times New Roman" w:cs="Times New Roman"/>
          <w:szCs w:val="24"/>
          <w:lang w:eastAsia="es-ES"/>
        </w:rPr>
        <w:t xml:space="preserve">Cómo se obtiene la </w:t>
      </w:r>
      <w:r w:rsidRPr="008C47B3">
        <w:rPr>
          <w:rFonts w:ascii="Times New Roman" w:eastAsia="Times New Roman" w:hAnsi="Times New Roman" w:cs="Times New Roman"/>
          <w:b/>
          <w:szCs w:val="24"/>
          <w:lang w:eastAsia="es-ES"/>
        </w:rPr>
        <w:t>nota final</w:t>
      </w:r>
      <w:r w:rsidRPr="008C47B3">
        <w:rPr>
          <w:rFonts w:ascii="Times New Roman" w:eastAsia="Times New Roman" w:hAnsi="Times New Roman" w:cs="Times New Roman"/>
          <w:szCs w:val="24"/>
          <w:lang w:eastAsia="es-ES"/>
        </w:rPr>
        <w:t xml:space="preserve"> (desterrando los instrumentos como eje del proceso y por supuesto no oficializando  los  porcentajes  a instrumentos cerrados como base para la evaluación del alumnado,  sino consagrando el </w:t>
      </w:r>
      <w:r w:rsidRPr="008C47B3">
        <w:rPr>
          <w:rFonts w:ascii="Times New Roman" w:eastAsia="Times New Roman" w:hAnsi="Times New Roman" w:cs="Times New Roman"/>
          <w:b/>
          <w:szCs w:val="24"/>
          <w:lang w:eastAsia="es-ES"/>
        </w:rPr>
        <w:t>perfil de materia y área</w:t>
      </w:r>
      <w:r w:rsidRPr="008C47B3">
        <w:rPr>
          <w:rFonts w:ascii="Times New Roman" w:eastAsia="Times New Roman" w:hAnsi="Times New Roman" w:cs="Times New Roman"/>
          <w:szCs w:val="24"/>
          <w:lang w:eastAsia="es-ES"/>
        </w:rPr>
        <w:t xml:space="preserve"> como la base para la expresión de una valoración tanto de materia como de competencia clave).</w:t>
      </w:r>
    </w:p>
    <w:p w:rsidR="00E70721" w:rsidRPr="008C47B3" w:rsidRDefault="00E70721" w:rsidP="00E70721">
      <w:pPr>
        <w:numPr>
          <w:ilvl w:val="0"/>
          <w:numId w:val="6"/>
        </w:numPr>
        <w:spacing w:before="100" w:beforeAutospacing="1" w:after="100" w:afterAutospacing="1" w:line="240" w:lineRule="auto"/>
        <w:rPr>
          <w:rFonts w:ascii="Times New Roman" w:eastAsia="Times New Roman" w:hAnsi="Times New Roman" w:cs="Times New Roman"/>
          <w:szCs w:val="24"/>
          <w:lang w:eastAsia="es-ES"/>
        </w:rPr>
      </w:pPr>
      <w:r w:rsidRPr="008C47B3">
        <w:rPr>
          <w:rFonts w:ascii="Times New Roman" w:eastAsia="Times New Roman" w:hAnsi="Times New Roman" w:cs="Times New Roman"/>
          <w:b/>
          <w:szCs w:val="24"/>
          <w:lang w:eastAsia="es-ES"/>
        </w:rPr>
        <w:t>Instrumentos de evaluación que el centro promueve</w:t>
      </w:r>
      <w:r w:rsidRPr="008C47B3">
        <w:rPr>
          <w:rFonts w:ascii="Times New Roman" w:eastAsia="Times New Roman" w:hAnsi="Times New Roman" w:cs="Times New Roman"/>
          <w:szCs w:val="24"/>
          <w:lang w:eastAsia="es-ES"/>
        </w:rPr>
        <w:t xml:space="preserve"> para que sean el punto de partida de los distintos departamentos, </w:t>
      </w:r>
      <w:r w:rsidRPr="008C47B3">
        <w:rPr>
          <w:rFonts w:ascii="Times New Roman" w:eastAsia="Times New Roman" w:hAnsi="Times New Roman" w:cs="Times New Roman"/>
          <w:b/>
          <w:szCs w:val="24"/>
          <w:lang w:eastAsia="es-ES"/>
        </w:rPr>
        <w:t>reflexionando sobre su validez y pertinencia</w:t>
      </w:r>
      <w:r w:rsidRPr="008C47B3">
        <w:rPr>
          <w:rFonts w:ascii="Times New Roman" w:eastAsia="Times New Roman" w:hAnsi="Times New Roman" w:cs="Times New Roman"/>
          <w:szCs w:val="24"/>
          <w:lang w:eastAsia="es-ES"/>
        </w:rPr>
        <w:t xml:space="preserve"> para evaluar según qué criterios.</w:t>
      </w:r>
    </w:p>
    <w:p w:rsidR="00E70721" w:rsidRPr="008C47B3" w:rsidRDefault="00E70721" w:rsidP="00E70721">
      <w:pPr>
        <w:numPr>
          <w:ilvl w:val="0"/>
          <w:numId w:val="6"/>
        </w:numPr>
        <w:spacing w:before="100" w:beforeAutospacing="1" w:after="100" w:afterAutospacing="1" w:line="240" w:lineRule="auto"/>
        <w:rPr>
          <w:rFonts w:ascii="Times New Roman" w:eastAsia="Times New Roman" w:hAnsi="Times New Roman" w:cs="Times New Roman"/>
          <w:szCs w:val="24"/>
          <w:lang w:eastAsia="es-ES"/>
        </w:rPr>
      </w:pPr>
      <w:r w:rsidRPr="008C47B3">
        <w:rPr>
          <w:rFonts w:ascii="Times New Roman" w:eastAsia="Times New Roman" w:hAnsi="Times New Roman" w:cs="Times New Roman"/>
          <w:b/>
          <w:szCs w:val="24"/>
          <w:lang w:eastAsia="es-ES"/>
        </w:rPr>
        <w:t>Número mínimo de instrumentos por evaluación</w:t>
      </w:r>
      <w:r w:rsidRPr="008C47B3">
        <w:rPr>
          <w:rFonts w:ascii="Times New Roman" w:eastAsia="Times New Roman" w:hAnsi="Times New Roman" w:cs="Times New Roman"/>
          <w:szCs w:val="24"/>
          <w:lang w:eastAsia="es-ES"/>
        </w:rPr>
        <w:t xml:space="preserve"> o por curso, para forzar a ampliar el abanico y no perpetuar un único instrumento (el examen).</w:t>
      </w:r>
    </w:p>
    <w:p w:rsidR="00E70721" w:rsidRPr="008C47B3" w:rsidRDefault="00E70721" w:rsidP="00E70721">
      <w:pPr>
        <w:numPr>
          <w:ilvl w:val="0"/>
          <w:numId w:val="6"/>
        </w:numPr>
        <w:spacing w:before="100" w:beforeAutospacing="1" w:after="100" w:afterAutospacing="1" w:line="240" w:lineRule="auto"/>
        <w:rPr>
          <w:rFonts w:ascii="Times New Roman" w:eastAsia="Times New Roman" w:hAnsi="Times New Roman" w:cs="Times New Roman"/>
          <w:szCs w:val="24"/>
          <w:lang w:eastAsia="es-ES"/>
        </w:rPr>
      </w:pPr>
      <w:r w:rsidRPr="008C47B3">
        <w:rPr>
          <w:rFonts w:ascii="Times New Roman" w:eastAsia="Times New Roman" w:hAnsi="Times New Roman" w:cs="Times New Roman"/>
          <w:b/>
          <w:szCs w:val="24"/>
          <w:lang w:eastAsia="es-ES"/>
        </w:rPr>
        <w:t>Mecanismo para la recuperación de aprendizajes no adquiridos</w:t>
      </w:r>
      <w:r w:rsidRPr="008C47B3">
        <w:rPr>
          <w:rFonts w:ascii="Times New Roman" w:eastAsia="Times New Roman" w:hAnsi="Times New Roman" w:cs="Times New Roman"/>
          <w:szCs w:val="24"/>
          <w:lang w:eastAsia="es-ES"/>
        </w:rPr>
        <w:t xml:space="preserve"> de una materia dentro del curso académico.</w:t>
      </w:r>
    </w:p>
    <w:p w:rsidR="00E70721" w:rsidRPr="008C47B3" w:rsidRDefault="00E70721" w:rsidP="00E70721">
      <w:pPr>
        <w:numPr>
          <w:ilvl w:val="0"/>
          <w:numId w:val="6"/>
        </w:numPr>
        <w:spacing w:before="100" w:beforeAutospacing="1" w:after="100" w:afterAutospacing="1" w:line="240" w:lineRule="auto"/>
        <w:rPr>
          <w:rFonts w:ascii="Times New Roman" w:eastAsia="Times New Roman" w:hAnsi="Times New Roman" w:cs="Times New Roman"/>
          <w:szCs w:val="24"/>
          <w:lang w:eastAsia="es-ES"/>
        </w:rPr>
      </w:pPr>
      <w:r w:rsidRPr="008C47B3">
        <w:rPr>
          <w:rFonts w:ascii="Times New Roman" w:eastAsia="Times New Roman" w:hAnsi="Times New Roman" w:cs="Times New Roman"/>
          <w:b/>
          <w:szCs w:val="24"/>
          <w:lang w:eastAsia="es-ES"/>
        </w:rPr>
        <w:t>Mecanismos de recuperación de pendientes.</w:t>
      </w:r>
    </w:p>
    <w:p w:rsidR="00E70721" w:rsidRPr="008C47B3" w:rsidRDefault="00E70721" w:rsidP="00E70721">
      <w:pPr>
        <w:numPr>
          <w:ilvl w:val="0"/>
          <w:numId w:val="6"/>
        </w:numPr>
        <w:spacing w:before="100" w:beforeAutospacing="1" w:after="100" w:afterAutospacing="1" w:line="240" w:lineRule="auto"/>
        <w:rPr>
          <w:rFonts w:ascii="Times New Roman" w:eastAsia="Times New Roman" w:hAnsi="Times New Roman" w:cs="Times New Roman"/>
          <w:szCs w:val="24"/>
          <w:lang w:eastAsia="es-ES"/>
        </w:rPr>
      </w:pPr>
      <w:r w:rsidRPr="008C47B3">
        <w:rPr>
          <w:rFonts w:ascii="Times New Roman" w:eastAsia="Times New Roman" w:hAnsi="Times New Roman" w:cs="Times New Roman"/>
          <w:b/>
          <w:szCs w:val="24"/>
          <w:lang w:eastAsia="es-ES"/>
        </w:rPr>
        <w:t>Comunicación a las familias de los resultados</w:t>
      </w:r>
      <w:r w:rsidRPr="008C47B3">
        <w:rPr>
          <w:rFonts w:ascii="Times New Roman" w:eastAsia="Times New Roman" w:hAnsi="Times New Roman" w:cs="Times New Roman"/>
          <w:szCs w:val="24"/>
          <w:lang w:eastAsia="es-ES"/>
        </w:rPr>
        <w:t>, en cada una de las evaluaciones, pero sobre todo en la final con vistas a la evaluación extraordinaria.</w:t>
      </w:r>
    </w:p>
    <w:p w:rsidR="00E70721" w:rsidRPr="008C47B3" w:rsidRDefault="00E70721" w:rsidP="00E70721">
      <w:pPr>
        <w:spacing w:before="100" w:beforeAutospacing="1" w:after="100" w:afterAutospacing="1" w:line="240" w:lineRule="auto"/>
        <w:ind w:left="360"/>
        <w:jc w:val="both"/>
        <w:rPr>
          <w:rFonts w:ascii="Times New Roman" w:eastAsia="Times New Roman" w:hAnsi="Times New Roman" w:cs="Times New Roman"/>
          <w:szCs w:val="24"/>
          <w:lang w:eastAsia="es-ES"/>
        </w:rPr>
      </w:pPr>
      <w:r w:rsidRPr="008C47B3">
        <w:rPr>
          <w:rFonts w:ascii="Times New Roman" w:eastAsia="Times New Roman" w:hAnsi="Times New Roman" w:cs="Times New Roman"/>
          <w:szCs w:val="24"/>
          <w:lang w:eastAsia="es-ES"/>
        </w:rPr>
        <w:t>Desde estos acuerdos, y teniendo en cuenta las características propias de la materia, el departamento hará una reflexión conjunta de la que saldrá un consenso de cumplimiento obligado por todos los docentes que lo componen.</w:t>
      </w:r>
    </w:p>
    <w:p w:rsidR="003833E9" w:rsidRDefault="003833E9" w:rsidP="008C47B3">
      <w:pPr>
        <w:pStyle w:val="NormalWeb"/>
        <w:jc w:val="both"/>
      </w:pPr>
      <w:r>
        <w:t xml:space="preserve">Estos </w:t>
      </w:r>
      <w:r w:rsidR="008C47B3">
        <w:t xml:space="preserve">dos puntos </w:t>
      </w:r>
      <w:r>
        <w:t>deben ser fruto de un consenso, ya que serán la fuente de la que los distintos departamentos y equipos docentes formulen los principios que guiarán la toma de decisiones.</w:t>
      </w:r>
      <w:r w:rsidR="00E70721">
        <w:t xml:space="preserve"> </w:t>
      </w:r>
      <w:r w:rsidRPr="00E70721">
        <w:rPr>
          <w:b/>
          <w:u w:val="single"/>
        </w:rPr>
        <w:t>Todas las decisiones deben ir respaldadas por el documento marco de un centro, el Plan de Centro</w:t>
      </w:r>
      <w:r>
        <w:t>, y dentro de él y especialmente, el Proyecto Educativo de Centro.</w:t>
      </w:r>
    </w:p>
    <w:sectPr w:rsidR="003833E9" w:rsidSect="00520713">
      <w:pgSz w:w="11906" w:h="16838"/>
      <w:pgMar w:top="851" w:right="566"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9pt;height:22.55pt;visibility:visible;mso-wrap-style:square" o:bullet="t">
        <v:imagedata r:id="rId1" o:title=""/>
      </v:shape>
    </w:pict>
  </w:numPicBullet>
  <w:abstractNum w:abstractNumId="0">
    <w:nsid w:val="11BC1FA2"/>
    <w:multiLevelType w:val="hybridMultilevel"/>
    <w:tmpl w:val="788279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EE4282"/>
    <w:multiLevelType w:val="multilevel"/>
    <w:tmpl w:val="7DE4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D3FF5"/>
    <w:multiLevelType w:val="hybridMultilevel"/>
    <w:tmpl w:val="9246EC02"/>
    <w:lvl w:ilvl="0" w:tplc="4B986A4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CAB6119"/>
    <w:multiLevelType w:val="hybridMultilevel"/>
    <w:tmpl w:val="ACF25E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6B367B2"/>
    <w:multiLevelType w:val="hybridMultilevel"/>
    <w:tmpl w:val="E01A0186"/>
    <w:lvl w:ilvl="0" w:tplc="AF805BDE">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610B2D24"/>
    <w:multiLevelType w:val="multilevel"/>
    <w:tmpl w:val="CF14DAA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6">
    <w:nsid w:val="6B8F2DC4"/>
    <w:multiLevelType w:val="multilevel"/>
    <w:tmpl w:val="FCD4187C"/>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7">
    <w:nsid w:val="7AAF5258"/>
    <w:multiLevelType w:val="hybridMultilevel"/>
    <w:tmpl w:val="4440D4A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nsid w:val="7AD93CB6"/>
    <w:multiLevelType w:val="multilevel"/>
    <w:tmpl w:val="9394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8"/>
  </w:num>
  <w:num w:numId="5">
    <w:abstractNumId w:val="6"/>
  </w:num>
  <w:num w:numId="6">
    <w:abstractNumId w:val="5"/>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4226E"/>
    <w:rsid w:val="0014226E"/>
    <w:rsid w:val="00233DD2"/>
    <w:rsid w:val="003833E9"/>
    <w:rsid w:val="003B7CDA"/>
    <w:rsid w:val="0045175F"/>
    <w:rsid w:val="00457B79"/>
    <w:rsid w:val="00520713"/>
    <w:rsid w:val="006E4A12"/>
    <w:rsid w:val="00710223"/>
    <w:rsid w:val="00714699"/>
    <w:rsid w:val="007212A8"/>
    <w:rsid w:val="00730798"/>
    <w:rsid w:val="0073597C"/>
    <w:rsid w:val="008C47B3"/>
    <w:rsid w:val="008C7561"/>
    <w:rsid w:val="00C15909"/>
    <w:rsid w:val="00DC1EEF"/>
    <w:rsid w:val="00E7072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22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6E"/>
    <w:rPr>
      <w:rFonts w:ascii="Tahoma" w:hAnsi="Tahoma" w:cs="Tahoma"/>
      <w:sz w:val="16"/>
      <w:szCs w:val="16"/>
    </w:rPr>
  </w:style>
  <w:style w:type="paragraph" w:styleId="Prrafodelista">
    <w:name w:val="List Paragraph"/>
    <w:basedOn w:val="Normal"/>
    <w:uiPriority w:val="34"/>
    <w:qFormat/>
    <w:rsid w:val="00520713"/>
    <w:pPr>
      <w:ind w:left="720"/>
      <w:contextualSpacing/>
    </w:pPr>
  </w:style>
  <w:style w:type="paragraph" w:styleId="NormalWeb">
    <w:name w:val="Normal (Web)"/>
    <w:basedOn w:val="Normal"/>
    <w:uiPriority w:val="99"/>
    <w:unhideWhenUsed/>
    <w:rsid w:val="003833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833E9"/>
    <w:rPr>
      <w:b/>
      <w:bCs/>
    </w:rPr>
  </w:style>
  <w:style w:type="character" w:styleId="Hipervnculo">
    <w:name w:val="Hyperlink"/>
    <w:basedOn w:val="Fuentedeprrafopredeter"/>
    <w:uiPriority w:val="99"/>
    <w:unhideWhenUsed/>
    <w:rsid w:val="003833E9"/>
    <w:rPr>
      <w:color w:val="0000FF"/>
      <w:u w:val="single"/>
    </w:rPr>
  </w:style>
  <w:style w:type="paragraph" w:styleId="Sinespaciado">
    <w:name w:val="No Spacing"/>
    <w:uiPriority w:val="1"/>
    <w:qFormat/>
    <w:rsid w:val="00E70721"/>
    <w:pPr>
      <w:spacing w:after="0" w:line="240" w:lineRule="auto"/>
    </w:pPr>
  </w:style>
</w:styles>
</file>

<file path=word/webSettings.xml><?xml version="1.0" encoding="utf-8"?>
<w:webSettings xmlns:r="http://schemas.openxmlformats.org/officeDocument/2006/relationships" xmlns:w="http://schemas.openxmlformats.org/wordprocessingml/2006/main">
  <w:divs>
    <w:div w:id="46924153">
      <w:bodyDiv w:val="1"/>
      <w:marLeft w:val="0"/>
      <w:marRight w:val="0"/>
      <w:marTop w:val="0"/>
      <w:marBottom w:val="0"/>
      <w:divBdr>
        <w:top w:val="none" w:sz="0" w:space="0" w:color="auto"/>
        <w:left w:val="none" w:sz="0" w:space="0" w:color="auto"/>
        <w:bottom w:val="none" w:sz="0" w:space="0" w:color="auto"/>
        <w:right w:val="none" w:sz="0" w:space="0" w:color="auto"/>
      </w:divBdr>
    </w:div>
    <w:div w:id="327750110">
      <w:bodyDiv w:val="1"/>
      <w:marLeft w:val="0"/>
      <w:marRight w:val="0"/>
      <w:marTop w:val="0"/>
      <w:marBottom w:val="0"/>
      <w:divBdr>
        <w:top w:val="none" w:sz="0" w:space="0" w:color="auto"/>
        <w:left w:val="none" w:sz="0" w:space="0" w:color="auto"/>
        <w:bottom w:val="none" w:sz="0" w:space="0" w:color="auto"/>
        <w:right w:val="none" w:sz="0" w:space="0" w:color="auto"/>
      </w:divBdr>
    </w:div>
    <w:div w:id="16118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Jefe de estudios</cp:lastModifiedBy>
  <cp:revision>2</cp:revision>
  <dcterms:created xsi:type="dcterms:W3CDTF">2020-01-31T14:03:00Z</dcterms:created>
  <dcterms:modified xsi:type="dcterms:W3CDTF">2020-01-31T14:03:00Z</dcterms:modified>
</cp:coreProperties>
</file>