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E56" w:rsidRDefault="00896E56" w:rsidP="00896E56">
      <w:pPr>
        <w:jc w:val="center"/>
        <w:rPr>
          <w:rFonts w:ascii="Arial Rounded MT Bold" w:hAnsi="Arial Rounded MT Bold"/>
          <w:b/>
          <w:sz w:val="28"/>
          <w:szCs w:val="28"/>
          <w:u w:val="single"/>
        </w:rPr>
      </w:pPr>
    </w:p>
    <w:p w:rsidR="00896E56" w:rsidRDefault="00896E56" w:rsidP="00896E56">
      <w:pPr>
        <w:jc w:val="center"/>
        <w:rPr>
          <w:rFonts w:ascii="Arial Rounded MT Bold" w:hAnsi="Arial Rounded MT Bold"/>
          <w:b/>
          <w:sz w:val="36"/>
          <w:szCs w:val="36"/>
        </w:rPr>
      </w:pPr>
      <w:r>
        <w:rPr>
          <w:rFonts w:ascii="Arial Rounded MT Bold" w:hAnsi="Arial Rounded MT Bold"/>
          <w:b/>
          <w:sz w:val="36"/>
          <w:szCs w:val="36"/>
        </w:rPr>
        <w:t>FORMACIÓN EN CENTROS: Actualización en metodología y evaluación en competencias en el IES Ciudad de Melilla.</w:t>
      </w:r>
    </w:p>
    <w:p w:rsidR="00896E56" w:rsidRDefault="00896E56" w:rsidP="00896E56">
      <w:pPr>
        <w:jc w:val="center"/>
        <w:rPr>
          <w:rFonts w:ascii="Arial Rounded MT Bold" w:hAnsi="Arial Rounded MT Bold"/>
          <w:b/>
          <w:sz w:val="36"/>
          <w:szCs w:val="36"/>
        </w:rPr>
      </w:pPr>
    </w:p>
    <w:p w:rsidR="00896E56" w:rsidRDefault="00896E56" w:rsidP="00896E56">
      <w:pPr>
        <w:jc w:val="center"/>
        <w:rPr>
          <w:rFonts w:ascii="Arial Rounded MT Bold" w:hAnsi="Arial Rounded MT Bold"/>
          <w:b/>
          <w:sz w:val="36"/>
          <w:szCs w:val="36"/>
        </w:rPr>
      </w:pPr>
    </w:p>
    <w:p w:rsidR="00896E56" w:rsidRPr="00896E56" w:rsidRDefault="00896E56" w:rsidP="00896E56">
      <w:pPr>
        <w:jc w:val="center"/>
        <w:rPr>
          <w:rFonts w:ascii="Arial Rounded MT Bold" w:hAnsi="Arial Rounded MT Bold"/>
          <w:b/>
          <w:sz w:val="36"/>
          <w:szCs w:val="36"/>
        </w:rPr>
      </w:pPr>
    </w:p>
    <w:p w:rsidR="008829EE" w:rsidRDefault="00896E56" w:rsidP="00896E56">
      <w:pPr>
        <w:jc w:val="center"/>
        <w:rPr>
          <w:rFonts w:ascii="Arial Rounded MT Bold" w:hAnsi="Arial Rounded MT Bold"/>
          <w:b/>
          <w:sz w:val="28"/>
          <w:szCs w:val="28"/>
        </w:rPr>
      </w:pPr>
      <w:r>
        <w:rPr>
          <w:rFonts w:ascii="Arial Rounded MT Bold" w:hAnsi="Arial Rounded MT Bold"/>
          <w:b/>
          <w:sz w:val="28"/>
          <w:szCs w:val="28"/>
        </w:rPr>
        <w:t>Primera actividad: Perfil Materia-Competencia.</w:t>
      </w:r>
    </w:p>
    <w:p w:rsidR="00896E56" w:rsidRDefault="00896E56" w:rsidP="00896E56">
      <w:pPr>
        <w:jc w:val="center"/>
        <w:rPr>
          <w:rFonts w:ascii="Arial Rounded MT Bold" w:hAnsi="Arial Rounded MT Bold"/>
          <w:b/>
          <w:sz w:val="28"/>
          <w:szCs w:val="28"/>
        </w:rPr>
      </w:pPr>
      <w:r>
        <w:rPr>
          <w:rFonts w:ascii="Arial Rounded MT Bold" w:hAnsi="Arial Rounded MT Bold"/>
          <w:b/>
          <w:sz w:val="28"/>
          <w:szCs w:val="28"/>
        </w:rPr>
        <w:t>Geografía e Historia, 3º ESO</w:t>
      </w:r>
    </w:p>
    <w:p w:rsidR="00896E56" w:rsidRDefault="00896E56" w:rsidP="00896E56">
      <w:pPr>
        <w:jc w:val="center"/>
        <w:rPr>
          <w:rFonts w:ascii="Arial Rounded MT Bold" w:hAnsi="Arial Rounded MT Bold"/>
          <w:b/>
          <w:sz w:val="28"/>
          <w:szCs w:val="28"/>
        </w:rPr>
      </w:pPr>
      <w:r>
        <w:rPr>
          <w:rFonts w:ascii="Arial Rounded MT Bold" w:hAnsi="Arial Rounded MT Bold"/>
          <w:b/>
          <w:sz w:val="28"/>
          <w:szCs w:val="28"/>
        </w:rPr>
        <w:t>CARMEN ESCOBAR RUIZ</w:t>
      </w:r>
    </w:p>
    <w:p w:rsidR="00896E56" w:rsidRDefault="00896E56" w:rsidP="00896E56">
      <w:pPr>
        <w:jc w:val="both"/>
        <w:rPr>
          <w:rFonts w:ascii="Arial Rounded MT Bold" w:hAnsi="Arial Rounded MT Bold"/>
          <w:b/>
          <w:sz w:val="28"/>
          <w:szCs w:val="28"/>
        </w:rPr>
      </w:pPr>
    </w:p>
    <w:p w:rsidR="00690D5F" w:rsidRDefault="00690D5F" w:rsidP="00896E56">
      <w:pPr>
        <w:jc w:val="both"/>
        <w:rPr>
          <w:rFonts w:ascii="Arial Rounded MT Bold" w:hAnsi="Arial Rounded MT Bold"/>
          <w:b/>
          <w:sz w:val="28"/>
          <w:szCs w:val="28"/>
        </w:rPr>
      </w:pPr>
    </w:p>
    <w:p w:rsidR="00690D5F" w:rsidRDefault="00690D5F" w:rsidP="00896E56">
      <w:pPr>
        <w:jc w:val="both"/>
        <w:rPr>
          <w:rFonts w:ascii="Arial Rounded MT Bold" w:hAnsi="Arial Rounded MT Bold"/>
          <w:b/>
          <w:sz w:val="28"/>
          <w:szCs w:val="28"/>
        </w:rPr>
      </w:pPr>
    </w:p>
    <w:p w:rsidR="00690D5F" w:rsidRDefault="00690D5F" w:rsidP="00896E56">
      <w:pPr>
        <w:jc w:val="both"/>
        <w:rPr>
          <w:rFonts w:ascii="Arial Rounded MT Bold" w:hAnsi="Arial Rounded MT Bold"/>
          <w:b/>
          <w:sz w:val="28"/>
          <w:szCs w:val="28"/>
        </w:rPr>
      </w:pPr>
    </w:p>
    <w:p w:rsidR="00690D5F" w:rsidRDefault="00690D5F" w:rsidP="00896E56">
      <w:pPr>
        <w:jc w:val="both"/>
        <w:rPr>
          <w:rFonts w:ascii="Arial Rounded MT Bold" w:hAnsi="Arial Rounded MT Bold"/>
          <w:b/>
          <w:sz w:val="28"/>
          <w:szCs w:val="28"/>
        </w:rPr>
      </w:pPr>
    </w:p>
    <w:p w:rsidR="00690D5F" w:rsidRDefault="00690D5F" w:rsidP="00896E56">
      <w:pPr>
        <w:jc w:val="both"/>
        <w:rPr>
          <w:rFonts w:ascii="Arial Rounded MT Bold" w:hAnsi="Arial Rounded MT Bold"/>
          <w:b/>
          <w:sz w:val="28"/>
          <w:szCs w:val="28"/>
        </w:rPr>
      </w:pPr>
    </w:p>
    <w:p w:rsidR="00F102E2" w:rsidRDefault="00F102E2" w:rsidP="00896E56">
      <w:pPr>
        <w:jc w:val="both"/>
        <w:rPr>
          <w:rFonts w:ascii="Arial Rounded MT Bold" w:hAnsi="Arial Rounded MT Bold"/>
          <w:b/>
          <w:sz w:val="28"/>
          <w:szCs w:val="28"/>
        </w:rPr>
      </w:pPr>
    </w:p>
    <w:p w:rsidR="00F102E2" w:rsidRDefault="00F102E2" w:rsidP="00896E56">
      <w:pPr>
        <w:jc w:val="both"/>
        <w:rPr>
          <w:rFonts w:ascii="Arial Rounded MT Bold" w:hAnsi="Arial Rounded MT Bold"/>
          <w:b/>
          <w:sz w:val="28"/>
          <w:szCs w:val="28"/>
        </w:rPr>
      </w:pPr>
    </w:p>
    <w:p w:rsidR="00F102E2" w:rsidRDefault="00F102E2" w:rsidP="00896E56">
      <w:pPr>
        <w:jc w:val="both"/>
        <w:rPr>
          <w:rFonts w:ascii="Arial Rounded MT Bold" w:hAnsi="Arial Rounded MT Bold"/>
          <w:b/>
          <w:sz w:val="28"/>
          <w:szCs w:val="28"/>
        </w:rPr>
      </w:pPr>
    </w:p>
    <w:p w:rsidR="00690D5F" w:rsidRDefault="00690D5F" w:rsidP="00896E56">
      <w:pPr>
        <w:jc w:val="both"/>
        <w:rPr>
          <w:rFonts w:ascii="Arial Rounded MT Bold" w:hAnsi="Arial Rounded MT Bold"/>
          <w:b/>
          <w:sz w:val="28"/>
          <w:szCs w:val="28"/>
        </w:rPr>
      </w:pPr>
    </w:p>
    <w:tbl>
      <w:tblPr>
        <w:tblW w:w="15778" w:type="dxa"/>
        <w:tblInd w:w="-8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70" w:type="dxa"/>
          <w:right w:w="70" w:type="dxa"/>
        </w:tblCellMar>
        <w:tblLook w:val="0000" w:firstRow="0" w:lastRow="0" w:firstColumn="0" w:lastColumn="0" w:noHBand="0" w:noVBand="0"/>
      </w:tblPr>
      <w:tblGrid>
        <w:gridCol w:w="6663"/>
        <w:gridCol w:w="7131"/>
        <w:gridCol w:w="283"/>
        <w:gridCol w:w="284"/>
        <w:gridCol w:w="283"/>
        <w:gridCol w:w="284"/>
        <w:gridCol w:w="283"/>
        <w:gridCol w:w="284"/>
        <w:gridCol w:w="283"/>
      </w:tblGrid>
      <w:tr w:rsidR="00690D5F" w:rsidRPr="00AA1549" w:rsidTr="00E3275A">
        <w:trPr>
          <w:cantSplit/>
          <w:trHeight w:val="120"/>
        </w:trPr>
        <w:tc>
          <w:tcPr>
            <w:tcW w:w="6663" w:type="dxa"/>
            <w:vMerge w:val="restart"/>
            <w:shd w:val="clear" w:color="auto" w:fill="C9C9C9" w:themeFill="accent3" w:themeFillTint="99"/>
          </w:tcPr>
          <w:p w:rsidR="00690D5F" w:rsidRPr="00AA1549" w:rsidRDefault="00690D5F" w:rsidP="0045207A">
            <w:pPr>
              <w:pStyle w:val="Prrafodelista"/>
              <w:spacing w:after="0" w:line="240" w:lineRule="auto"/>
              <w:ind w:left="428"/>
              <w:rPr>
                <w:rFonts w:ascii="Times New Roman" w:hAnsi="Times New Roman" w:cs="Times New Roman"/>
                <w:b/>
                <w:color w:val="333333"/>
                <w:sz w:val="24"/>
                <w:szCs w:val="24"/>
              </w:rPr>
            </w:pPr>
            <w:r w:rsidRPr="00AA1549">
              <w:rPr>
                <w:rFonts w:ascii="Times New Roman" w:hAnsi="Times New Roman" w:cs="Times New Roman"/>
                <w:b/>
                <w:color w:val="333333"/>
                <w:sz w:val="24"/>
                <w:szCs w:val="24"/>
              </w:rPr>
              <w:lastRenderedPageBreak/>
              <w:t>CRITERIOS DE EVALUACIÓN</w:t>
            </w:r>
          </w:p>
        </w:tc>
        <w:tc>
          <w:tcPr>
            <w:tcW w:w="7131" w:type="dxa"/>
            <w:vMerge w:val="restart"/>
            <w:tcBorders>
              <w:right w:val="single" w:sz="12" w:space="0" w:color="FFFFFF" w:themeColor="background1"/>
            </w:tcBorders>
            <w:shd w:val="clear" w:color="auto" w:fill="C9C9C9" w:themeFill="accent3" w:themeFillTint="99"/>
          </w:tcPr>
          <w:p w:rsidR="00690D5F" w:rsidRPr="00AA1549" w:rsidRDefault="00690D5F" w:rsidP="0045207A">
            <w:pPr>
              <w:pStyle w:val="Prrafodelista"/>
              <w:spacing w:after="0" w:line="240" w:lineRule="auto"/>
              <w:rPr>
                <w:rFonts w:ascii="Times New Roman" w:hAnsi="Times New Roman" w:cs="Times New Roman"/>
                <w:b/>
                <w:color w:val="333333"/>
                <w:sz w:val="24"/>
                <w:szCs w:val="24"/>
              </w:rPr>
            </w:pPr>
            <w:r w:rsidRPr="00AA1549">
              <w:rPr>
                <w:rFonts w:ascii="Times New Roman" w:hAnsi="Times New Roman" w:cs="Times New Roman"/>
                <w:b/>
                <w:color w:val="333333"/>
                <w:sz w:val="24"/>
                <w:szCs w:val="24"/>
              </w:rPr>
              <w:t>ESTÁNDARES DE APRENDIZAJE EVALUABLES</w:t>
            </w:r>
          </w:p>
        </w:tc>
        <w:tc>
          <w:tcPr>
            <w:tcW w:w="1984" w:type="dxa"/>
            <w:gridSpan w:val="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9C9C9" w:themeFill="accent3" w:themeFillTint="99"/>
          </w:tcPr>
          <w:p w:rsidR="00690D5F" w:rsidRPr="00AA1549" w:rsidRDefault="00690D5F" w:rsidP="0045207A">
            <w:pPr>
              <w:spacing w:after="0" w:line="240" w:lineRule="auto"/>
              <w:contextualSpacing/>
              <w:jc w:val="center"/>
              <w:rPr>
                <w:rFonts w:ascii="Times New Roman" w:hAnsi="Times New Roman" w:cs="Times New Roman"/>
                <w:b/>
                <w:color w:val="333333"/>
                <w:sz w:val="24"/>
                <w:szCs w:val="24"/>
              </w:rPr>
            </w:pPr>
            <w:r w:rsidRPr="00AA1549">
              <w:rPr>
                <w:rFonts w:ascii="Times New Roman" w:hAnsi="Times New Roman" w:cs="Times New Roman"/>
                <w:b/>
                <w:color w:val="333333"/>
                <w:sz w:val="24"/>
                <w:szCs w:val="24"/>
              </w:rPr>
              <w:t>Competencias</w:t>
            </w:r>
          </w:p>
        </w:tc>
      </w:tr>
      <w:tr w:rsidR="00690D5F" w:rsidRPr="00AA1549" w:rsidTr="00E3275A">
        <w:trPr>
          <w:cantSplit/>
          <w:trHeight w:val="110"/>
        </w:trPr>
        <w:tc>
          <w:tcPr>
            <w:tcW w:w="6663" w:type="dxa"/>
            <w:vMerge/>
            <w:tcBorders>
              <w:bottom w:val="single" w:sz="12" w:space="0" w:color="FFFFFF" w:themeColor="background1"/>
            </w:tcBorders>
            <w:shd w:val="clear" w:color="auto" w:fill="C9C9C9" w:themeFill="accent3" w:themeFillTint="99"/>
          </w:tcPr>
          <w:p w:rsidR="00690D5F" w:rsidRPr="00AA1549" w:rsidRDefault="00690D5F" w:rsidP="00690D5F">
            <w:pPr>
              <w:pStyle w:val="Prrafodelista"/>
              <w:numPr>
                <w:ilvl w:val="0"/>
                <w:numId w:val="2"/>
              </w:numPr>
              <w:spacing w:after="0" w:line="240" w:lineRule="auto"/>
              <w:ind w:left="428"/>
              <w:jc w:val="both"/>
              <w:rPr>
                <w:rFonts w:ascii="Times New Roman" w:hAnsi="Times New Roman" w:cs="Times New Roman"/>
                <w:b/>
                <w:color w:val="333333"/>
                <w:sz w:val="24"/>
                <w:szCs w:val="24"/>
              </w:rPr>
            </w:pPr>
          </w:p>
        </w:tc>
        <w:tc>
          <w:tcPr>
            <w:tcW w:w="7131" w:type="dxa"/>
            <w:vMerge/>
            <w:tcBorders>
              <w:bottom w:val="single" w:sz="12" w:space="0" w:color="FFFFFF" w:themeColor="background1"/>
              <w:right w:val="single" w:sz="12" w:space="0" w:color="FFFFFF" w:themeColor="background1"/>
            </w:tcBorders>
            <w:shd w:val="clear" w:color="auto" w:fill="C9C9C9" w:themeFill="accent3" w:themeFillTint="99"/>
          </w:tcPr>
          <w:p w:rsidR="00690D5F" w:rsidRPr="00AA1549" w:rsidRDefault="00690D5F" w:rsidP="00690D5F">
            <w:pPr>
              <w:pStyle w:val="Prrafodelista"/>
              <w:numPr>
                <w:ilvl w:val="0"/>
                <w:numId w:val="1"/>
              </w:numPr>
              <w:spacing w:after="0" w:line="240" w:lineRule="auto"/>
              <w:jc w:val="both"/>
              <w:rPr>
                <w:rFonts w:ascii="Times New Roman" w:hAnsi="Times New Roman" w:cs="Times New Roman"/>
                <w:b/>
                <w:color w:val="333333"/>
                <w:sz w:val="24"/>
                <w:szCs w:val="24"/>
              </w:rPr>
            </w:pPr>
          </w:p>
        </w:tc>
        <w:tc>
          <w:tcPr>
            <w:tcW w:w="28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9C9C9" w:themeFill="accent3" w:themeFillTint="99"/>
          </w:tcPr>
          <w:p w:rsidR="00690D5F" w:rsidRPr="00AA1549" w:rsidRDefault="00690D5F" w:rsidP="0045207A">
            <w:pPr>
              <w:spacing w:after="0" w:line="240" w:lineRule="auto"/>
              <w:contextualSpacing/>
              <w:jc w:val="both"/>
              <w:rPr>
                <w:rFonts w:ascii="Times New Roman" w:hAnsi="Times New Roman" w:cs="Times New Roman"/>
                <w:b/>
                <w:color w:val="333333"/>
                <w:sz w:val="24"/>
                <w:szCs w:val="24"/>
              </w:rPr>
            </w:pPr>
            <w:r w:rsidRPr="00AA1549">
              <w:rPr>
                <w:rFonts w:ascii="Times New Roman" w:hAnsi="Times New Roman" w:cs="Times New Roman"/>
                <w:b/>
                <w:color w:val="333333"/>
                <w:sz w:val="24"/>
                <w:szCs w:val="24"/>
              </w:rPr>
              <w:t>1</w:t>
            </w:r>
          </w:p>
        </w:tc>
        <w:tc>
          <w:tcPr>
            <w:tcW w:w="28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9C9C9" w:themeFill="accent3" w:themeFillTint="99"/>
          </w:tcPr>
          <w:p w:rsidR="00690D5F" w:rsidRPr="00AA1549" w:rsidRDefault="00690D5F" w:rsidP="0045207A">
            <w:pPr>
              <w:spacing w:after="0" w:line="240" w:lineRule="auto"/>
              <w:contextualSpacing/>
              <w:jc w:val="center"/>
              <w:rPr>
                <w:rFonts w:ascii="Times New Roman" w:hAnsi="Times New Roman" w:cs="Times New Roman"/>
                <w:b/>
                <w:color w:val="333333"/>
                <w:sz w:val="24"/>
                <w:szCs w:val="24"/>
              </w:rPr>
            </w:pPr>
            <w:r w:rsidRPr="00AA1549">
              <w:rPr>
                <w:rFonts w:ascii="Times New Roman" w:hAnsi="Times New Roman" w:cs="Times New Roman"/>
                <w:b/>
                <w:color w:val="333333"/>
                <w:sz w:val="24"/>
                <w:szCs w:val="24"/>
              </w:rPr>
              <w:t>2</w:t>
            </w:r>
          </w:p>
        </w:tc>
        <w:tc>
          <w:tcPr>
            <w:tcW w:w="28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9C9C9" w:themeFill="accent3" w:themeFillTint="99"/>
          </w:tcPr>
          <w:p w:rsidR="00690D5F" w:rsidRPr="00AA1549" w:rsidRDefault="00690D5F" w:rsidP="0045207A">
            <w:pPr>
              <w:spacing w:after="0" w:line="240" w:lineRule="auto"/>
              <w:contextualSpacing/>
              <w:jc w:val="center"/>
              <w:rPr>
                <w:rFonts w:ascii="Times New Roman" w:hAnsi="Times New Roman" w:cs="Times New Roman"/>
                <w:b/>
                <w:color w:val="333333"/>
                <w:sz w:val="24"/>
                <w:szCs w:val="24"/>
              </w:rPr>
            </w:pPr>
            <w:r w:rsidRPr="00AA1549">
              <w:rPr>
                <w:rFonts w:ascii="Times New Roman" w:hAnsi="Times New Roman" w:cs="Times New Roman"/>
                <w:b/>
                <w:color w:val="333333"/>
                <w:sz w:val="24"/>
                <w:szCs w:val="24"/>
              </w:rPr>
              <w:t>3</w:t>
            </w:r>
          </w:p>
        </w:tc>
        <w:tc>
          <w:tcPr>
            <w:tcW w:w="28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9C9C9" w:themeFill="accent3" w:themeFillTint="99"/>
          </w:tcPr>
          <w:p w:rsidR="00690D5F" w:rsidRPr="00AA1549" w:rsidRDefault="00690D5F" w:rsidP="0045207A">
            <w:pPr>
              <w:spacing w:after="0" w:line="240" w:lineRule="auto"/>
              <w:contextualSpacing/>
              <w:jc w:val="center"/>
              <w:rPr>
                <w:rFonts w:ascii="Times New Roman" w:hAnsi="Times New Roman" w:cs="Times New Roman"/>
                <w:b/>
                <w:color w:val="333333"/>
                <w:sz w:val="24"/>
                <w:szCs w:val="24"/>
              </w:rPr>
            </w:pPr>
            <w:r w:rsidRPr="00AA1549">
              <w:rPr>
                <w:rFonts w:ascii="Times New Roman" w:hAnsi="Times New Roman" w:cs="Times New Roman"/>
                <w:b/>
                <w:color w:val="333333"/>
                <w:sz w:val="24"/>
                <w:szCs w:val="24"/>
              </w:rPr>
              <w:t>4</w:t>
            </w:r>
          </w:p>
        </w:tc>
        <w:tc>
          <w:tcPr>
            <w:tcW w:w="28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9C9C9" w:themeFill="accent3" w:themeFillTint="99"/>
          </w:tcPr>
          <w:p w:rsidR="00690D5F" w:rsidRPr="00AA1549" w:rsidRDefault="00690D5F" w:rsidP="0045207A">
            <w:pPr>
              <w:spacing w:after="0" w:line="240" w:lineRule="auto"/>
              <w:contextualSpacing/>
              <w:jc w:val="center"/>
              <w:rPr>
                <w:rFonts w:ascii="Times New Roman" w:hAnsi="Times New Roman" w:cs="Times New Roman"/>
                <w:b/>
                <w:color w:val="333333"/>
                <w:sz w:val="24"/>
                <w:szCs w:val="24"/>
              </w:rPr>
            </w:pPr>
            <w:r w:rsidRPr="00AA1549">
              <w:rPr>
                <w:rFonts w:ascii="Times New Roman" w:hAnsi="Times New Roman" w:cs="Times New Roman"/>
                <w:b/>
                <w:color w:val="333333"/>
                <w:sz w:val="24"/>
                <w:szCs w:val="24"/>
              </w:rPr>
              <w:t>5</w:t>
            </w:r>
          </w:p>
        </w:tc>
        <w:tc>
          <w:tcPr>
            <w:tcW w:w="28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9C9C9" w:themeFill="accent3" w:themeFillTint="99"/>
          </w:tcPr>
          <w:p w:rsidR="00690D5F" w:rsidRPr="00AA1549" w:rsidRDefault="00690D5F" w:rsidP="0045207A">
            <w:pPr>
              <w:spacing w:after="0" w:line="240" w:lineRule="auto"/>
              <w:contextualSpacing/>
              <w:jc w:val="center"/>
              <w:rPr>
                <w:rFonts w:ascii="Times New Roman" w:hAnsi="Times New Roman" w:cs="Times New Roman"/>
                <w:b/>
                <w:color w:val="333333"/>
                <w:sz w:val="24"/>
                <w:szCs w:val="24"/>
              </w:rPr>
            </w:pPr>
            <w:r w:rsidRPr="00AA1549">
              <w:rPr>
                <w:rFonts w:ascii="Times New Roman" w:hAnsi="Times New Roman" w:cs="Times New Roman"/>
                <w:b/>
                <w:color w:val="333333"/>
                <w:sz w:val="24"/>
                <w:szCs w:val="24"/>
              </w:rPr>
              <w:t>6</w:t>
            </w:r>
          </w:p>
        </w:tc>
        <w:tc>
          <w:tcPr>
            <w:tcW w:w="28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9C9C9" w:themeFill="accent3" w:themeFillTint="99"/>
          </w:tcPr>
          <w:p w:rsidR="00690D5F" w:rsidRPr="00AA1549" w:rsidRDefault="00690D5F" w:rsidP="0045207A">
            <w:pPr>
              <w:spacing w:after="0" w:line="240" w:lineRule="auto"/>
              <w:contextualSpacing/>
              <w:jc w:val="center"/>
              <w:rPr>
                <w:rFonts w:ascii="Times New Roman" w:hAnsi="Times New Roman" w:cs="Times New Roman"/>
                <w:b/>
                <w:color w:val="333333"/>
                <w:sz w:val="24"/>
                <w:szCs w:val="24"/>
              </w:rPr>
            </w:pPr>
            <w:r w:rsidRPr="00AA1549">
              <w:rPr>
                <w:rFonts w:ascii="Times New Roman" w:hAnsi="Times New Roman" w:cs="Times New Roman"/>
                <w:b/>
                <w:color w:val="333333"/>
                <w:sz w:val="24"/>
                <w:szCs w:val="24"/>
              </w:rPr>
              <w:t>7</w:t>
            </w:r>
          </w:p>
        </w:tc>
      </w:tr>
      <w:tr w:rsidR="00690D5F" w:rsidRPr="00AA1549" w:rsidTr="00E3275A">
        <w:trPr>
          <w:cantSplit/>
          <w:trHeight w:val="454"/>
        </w:trPr>
        <w:tc>
          <w:tcPr>
            <w:tcW w:w="6663" w:type="dxa"/>
            <w:vMerge w:val="restart"/>
            <w:shd w:val="clear" w:color="auto" w:fill="EDEDED" w:themeFill="accent3" w:themeFillTint="33"/>
          </w:tcPr>
          <w:p w:rsidR="00690D5F" w:rsidRPr="00AA1549" w:rsidRDefault="00690D5F" w:rsidP="00690D5F">
            <w:pPr>
              <w:pStyle w:val="Prrafodelista"/>
              <w:numPr>
                <w:ilvl w:val="0"/>
                <w:numId w:val="2"/>
              </w:numPr>
              <w:spacing w:after="0" w:line="240" w:lineRule="auto"/>
              <w:ind w:left="121" w:hanging="121"/>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Conocer y utilizar las técnicas de trabajo geográfico.</w:t>
            </w:r>
          </w:p>
        </w:tc>
        <w:tc>
          <w:tcPr>
            <w:tcW w:w="7131" w:type="dxa"/>
            <w:tcBorders>
              <w:bottom w:val="single" w:sz="12" w:space="0" w:color="FFFFFF" w:themeColor="background1"/>
              <w:right w:val="single" w:sz="2" w:space="0" w:color="A6A6A6" w:themeColor="background1" w:themeShade="A6"/>
            </w:tcBorders>
            <w:shd w:val="clear" w:color="auto" w:fill="EDEDED" w:themeFill="accent3"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Usa las tecnologías de la información y de la comunicación para identificar tipos de paisajes y reconocer los fenómenos geográficos.</w:t>
            </w:r>
          </w:p>
        </w:tc>
        <w:tc>
          <w:tcPr>
            <w:tcW w:w="283" w:type="dxa"/>
            <w:tcBorders>
              <w:top w:val="single" w:sz="12" w:space="0" w:color="FFFFFF" w:themeColor="background1"/>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12" w:space="0" w:color="FFFFFF" w:themeColor="background1"/>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12" w:space="0" w:color="FFFFFF" w:themeColor="background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12" w:space="0" w:color="FFFFFF" w:themeColor="background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12" w:space="0" w:color="FFFFFF" w:themeColor="background1"/>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12" w:space="0" w:color="FFFFFF" w:themeColor="background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12" w:space="0" w:color="FFFFFF" w:themeColor="background1"/>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200"/>
        </w:trPr>
        <w:tc>
          <w:tcPr>
            <w:tcW w:w="6663" w:type="dxa"/>
            <w:vMerge/>
            <w:shd w:val="clear" w:color="auto" w:fill="DBDBDB" w:themeFill="accent3" w:themeFillTint="66"/>
          </w:tcPr>
          <w:p w:rsidR="00690D5F" w:rsidRPr="00AA1549" w:rsidRDefault="00690D5F" w:rsidP="00690D5F">
            <w:pPr>
              <w:pStyle w:val="Prrafodelista"/>
              <w:numPr>
                <w:ilvl w:val="0"/>
                <w:numId w:val="2"/>
              </w:numPr>
              <w:spacing w:after="0" w:line="240" w:lineRule="auto"/>
              <w:ind w:left="238" w:hanging="238"/>
              <w:jc w:val="both"/>
              <w:rPr>
                <w:rFonts w:ascii="Times New Roman" w:hAnsi="Times New Roman" w:cs="Times New Roman"/>
                <w:color w:val="333333"/>
                <w:sz w:val="24"/>
                <w:szCs w:val="24"/>
              </w:rPr>
            </w:pPr>
          </w:p>
        </w:tc>
        <w:tc>
          <w:tcPr>
            <w:tcW w:w="7131" w:type="dxa"/>
            <w:tcBorders>
              <w:right w:val="single" w:sz="2" w:space="0" w:color="A6A6A6" w:themeColor="background1" w:themeShade="A6"/>
            </w:tcBorders>
            <w:shd w:val="clear" w:color="auto" w:fill="EDEDED" w:themeFill="accent3"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Conoce e identifica las formas de representación de nuestro planeta.</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229"/>
        </w:trPr>
        <w:tc>
          <w:tcPr>
            <w:tcW w:w="6663" w:type="dxa"/>
            <w:vMerge w:val="restart"/>
            <w:shd w:val="clear" w:color="auto" w:fill="D9E2F3" w:themeFill="accent5" w:themeFillTint="33"/>
          </w:tcPr>
          <w:p w:rsidR="00690D5F" w:rsidRPr="00AA1549" w:rsidRDefault="00690D5F" w:rsidP="00690D5F">
            <w:pPr>
              <w:pStyle w:val="Prrafodelista"/>
              <w:numPr>
                <w:ilvl w:val="0"/>
                <w:numId w:val="2"/>
              </w:numPr>
              <w:spacing w:after="0" w:line="240" w:lineRule="auto"/>
              <w:ind w:left="121" w:hanging="121"/>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Reconocer el medio natural como marco físico de las actividades humanas.</w:t>
            </w:r>
          </w:p>
        </w:tc>
        <w:tc>
          <w:tcPr>
            <w:tcW w:w="7131" w:type="dxa"/>
            <w:tcBorders>
              <w:right w:val="single" w:sz="2" w:space="0" w:color="A6A6A6" w:themeColor="background1" w:themeShade="A6"/>
            </w:tcBorders>
            <w:shd w:val="clear" w:color="auto" w:fill="D9E2F3" w:themeFill="accent5"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 xml:space="preserve">Realiza una visión global del </w:t>
            </w:r>
            <w:r>
              <w:rPr>
                <w:rFonts w:ascii="Times New Roman" w:hAnsi="Times New Roman" w:cs="Times New Roman"/>
                <w:color w:val="333333"/>
                <w:sz w:val="24"/>
                <w:szCs w:val="24"/>
              </w:rPr>
              <w:t>medio físico a distintas escalas.</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82"/>
        </w:trPr>
        <w:tc>
          <w:tcPr>
            <w:tcW w:w="6663" w:type="dxa"/>
            <w:vMerge/>
            <w:tcBorders>
              <w:bottom w:val="single" w:sz="12" w:space="0" w:color="FFFFFF" w:themeColor="background1"/>
            </w:tcBorders>
            <w:shd w:val="clear" w:color="auto" w:fill="D9E2F3" w:themeFill="accent5" w:themeFillTint="33"/>
          </w:tcPr>
          <w:p w:rsidR="00690D5F" w:rsidRPr="00AA1549" w:rsidRDefault="00690D5F" w:rsidP="00690D5F">
            <w:pPr>
              <w:pStyle w:val="Prrafodelista"/>
              <w:numPr>
                <w:ilvl w:val="0"/>
                <w:numId w:val="2"/>
              </w:numPr>
              <w:spacing w:after="0" w:line="240" w:lineRule="auto"/>
              <w:ind w:left="238" w:hanging="238"/>
              <w:jc w:val="both"/>
              <w:rPr>
                <w:rFonts w:ascii="Times New Roman" w:hAnsi="Times New Roman" w:cs="Times New Roman"/>
                <w:color w:val="333333"/>
                <w:sz w:val="24"/>
                <w:szCs w:val="24"/>
              </w:rPr>
            </w:pPr>
          </w:p>
        </w:tc>
        <w:tc>
          <w:tcPr>
            <w:tcW w:w="7131" w:type="dxa"/>
            <w:tcBorders>
              <w:bottom w:val="single" w:sz="12" w:space="0" w:color="FFFFFF" w:themeColor="background1"/>
              <w:right w:val="single" w:sz="2" w:space="0" w:color="A6A6A6" w:themeColor="background1" w:themeShade="A6"/>
            </w:tcBorders>
            <w:shd w:val="clear" w:color="auto" w:fill="D9E2F3" w:themeFill="accent5"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Describe las particularidades de</w:t>
            </w:r>
            <w:r>
              <w:rPr>
                <w:rFonts w:ascii="Times New Roman" w:hAnsi="Times New Roman" w:cs="Times New Roman"/>
                <w:color w:val="333333"/>
                <w:sz w:val="24"/>
                <w:szCs w:val="24"/>
              </w:rPr>
              <w:t>l medio físico a distintas escalas</w:t>
            </w:r>
            <w:r w:rsidRPr="00AA1549">
              <w:rPr>
                <w:rFonts w:ascii="Times New Roman" w:hAnsi="Times New Roman" w:cs="Times New Roman"/>
                <w:color w:val="333333"/>
                <w:sz w:val="24"/>
                <w:szCs w:val="24"/>
              </w:rPr>
              <w:t>.</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168"/>
        </w:trPr>
        <w:tc>
          <w:tcPr>
            <w:tcW w:w="6663" w:type="dxa"/>
            <w:shd w:val="clear" w:color="auto" w:fill="EDEDED" w:themeFill="accent3" w:themeFillTint="33"/>
          </w:tcPr>
          <w:p w:rsidR="00690D5F" w:rsidRPr="00AA1549" w:rsidRDefault="00690D5F" w:rsidP="00690D5F">
            <w:pPr>
              <w:pStyle w:val="Prrafodelista"/>
              <w:numPr>
                <w:ilvl w:val="0"/>
                <w:numId w:val="2"/>
              </w:numPr>
              <w:spacing w:after="0" w:line="240" w:lineRule="auto"/>
              <w:ind w:left="121" w:hanging="121"/>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Identificar y describir las características de los diversos sectores de producción en el mundo.</w:t>
            </w:r>
          </w:p>
        </w:tc>
        <w:tc>
          <w:tcPr>
            <w:tcW w:w="7131" w:type="dxa"/>
            <w:tcBorders>
              <w:right w:val="single" w:sz="2" w:space="0" w:color="A6A6A6" w:themeColor="background1" w:themeShade="A6"/>
            </w:tcBorders>
            <w:shd w:val="clear" w:color="auto" w:fill="EDEDED" w:themeFill="accent3"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Identifica y rec</w:t>
            </w:r>
            <w:r>
              <w:rPr>
                <w:rFonts w:ascii="Times New Roman" w:hAnsi="Times New Roman" w:cs="Times New Roman"/>
                <w:color w:val="333333"/>
                <w:sz w:val="24"/>
                <w:szCs w:val="24"/>
              </w:rPr>
              <w:t>onoce las relaciones internas entre</w:t>
            </w:r>
            <w:r w:rsidRPr="00AA1549">
              <w:rPr>
                <w:rFonts w:ascii="Times New Roman" w:hAnsi="Times New Roman" w:cs="Times New Roman"/>
                <w:color w:val="333333"/>
                <w:sz w:val="24"/>
                <w:szCs w:val="24"/>
              </w:rPr>
              <w:t xml:space="preserve"> aspectos concretos dentro de cada sector económico. </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165"/>
        </w:trPr>
        <w:tc>
          <w:tcPr>
            <w:tcW w:w="6663" w:type="dxa"/>
            <w:tcBorders>
              <w:bottom w:val="single" w:sz="12" w:space="0" w:color="FFFFFF" w:themeColor="background1"/>
            </w:tcBorders>
            <w:shd w:val="clear" w:color="auto" w:fill="D9E2F3" w:themeFill="accent5" w:themeFillTint="33"/>
          </w:tcPr>
          <w:p w:rsidR="00690D5F" w:rsidRPr="00AA1549" w:rsidRDefault="00690D5F" w:rsidP="00690D5F">
            <w:pPr>
              <w:pStyle w:val="Prrafodelista"/>
              <w:numPr>
                <w:ilvl w:val="0"/>
                <w:numId w:val="2"/>
              </w:numPr>
              <w:spacing w:after="0" w:line="240" w:lineRule="auto"/>
              <w:ind w:left="121" w:hanging="121"/>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Localizar e identificar los espacios agrarios a nivel mundial.</w:t>
            </w:r>
          </w:p>
        </w:tc>
        <w:tc>
          <w:tcPr>
            <w:tcW w:w="7131" w:type="dxa"/>
            <w:tcBorders>
              <w:bottom w:val="single" w:sz="12" w:space="0" w:color="FFFFFF" w:themeColor="background1"/>
              <w:right w:val="single" w:sz="2" w:space="0" w:color="A6A6A6" w:themeColor="background1" w:themeShade="A6"/>
            </w:tcBorders>
            <w:shd w:val="clear" w:color="auto" w:fill="D9E2F3" w:themeFill="accent5"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Sitúa en un mapa las grandes áreas cultivadas del planeta, regiones ganaderas, masas boscosas y principales regiones pesqueras.</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486"/>
        </w:trPr>
        <w:tc>
          <w:tcPr>
            <w:tcW w:w="6663" w:type="dxa"/>
            <w:vMerge w:val="restart"/>
            <w:shd w:val="clear" w:color="auto" w:fill="EDEDED" w:themeFill="accent3" w:themeFillTint="33"/>
          </w:tcPr>
          <w:p w:rsidR="00690D5F" w:rsidRPr="00AA1549" w:rsidRDefault="00690D5F" w:rsidP="00690D5F">
            <w:pPr>
              <w:pStyle w:val="Prrafodelista"/>
              <w:numPr>
                <w:ilvl w:val="0"/>
                <w:numId w:val="2"/>
              </w:numPr>
              <w:spacing w:after="0" w:line="240" w:lineRule="auto"/>
              <w:ind w:left="121" w:hanging="121"/>
              <w:jc w:val="both"/>
              <w:rPr>
                <w:rFonts w:ascii="Times New Roman" w:hAnsi="Times New Roman" w:cs="Times New Roman"/>
                <w:color w:val="333333"/>
                <w:sz w:val="24"/>
                <w:szCs w:val="24"/>
              </w:rPr>
            </w:pPr>
            <w:r>
              <w:rPr>
                <w:rFonts w:ascii="Times New Roman" w:hAnsi="Times New Roman" w:cs="Times New Roman"/>
                <w:color w:val="333333"/>
                <w:sz w:val="24"/>
                <w:szCs w:val="24"/>
              </w:rPr>
              <w:t>Identificar y localizar las fuentes de energía y materias primas a nivel mundial.</w:t>
            </w:r>
          </w:p>
        </w:tc>
        <w:tc>
          <w:tcPr>
            <w:tcW w:w="7131" w:type="dxa"/>
            <w:tcBorders>
              <w:bottom w:val="single" w:sz="12" w:space="0" w:color="FFFFFF" w:themeColor="background1"/>
              <w:right w:val="single" w:sz="2" w:space="0" w:color="A6A6A6" w:themeColor="background1" w:themeShade="A6"/>
            </w:tcBorders>
            <w:shd w:val="clear" w:color="auto" w:fill="EDEDED" w:themeFill="accent3"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 xml:space="preserve">Identifica y nombra las distintas tipologías de energías existentes en función de su sostenibilidad. </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515"/>
        </w:trPr>
        <w:tc>
          <w:tcPr>
            <w:tcW w:w="6663" w:type="dxa"/>
            <w:vMerge/>
            <w:shd w:val="clear" w:color="auto" w:fill="EDEDED" w:themeFill="accent3" w:themeFillTint="33"/>
          </w:tcPr>
          <w:p w:rsidR="00690D5F" w:rsidRPr="00AA1549" w:rsidRDefault="00690D5F" w:rsidP="00690D5F">
            <w:pPr>
              <w:pStyle w:val="Prrafodelista"/>
              <w:numPr>
                <w:ilvl w:val="0"/>
                <w:numId w:val="2"/>
              </w:numPr>
              <w:spacing w:after="0" w:line="240" w:lineRule="auto"/>
              <w:ind w:left="238" w:hanging="238"/>
              <w:jc w:val="both"/>
              <w:rPr>
                <w:rFonts w:ascii="Times New Roman" w:hAnsi="Times New Roman" w:cs="Times New Roman"/>
                <w:color w:val="333333"/>
                <w:sz w:val="24"/>
                <w:szCs w:val="24"/>
              </w:rPr>
            </w:pPr>
          </w:p>
        </w:tc>
        <w:tc>
          <w:tcPr>
            <w:tcW w:w="7131" w:type="dxa"/>
            <w:tcBorders>
              <w:right w:val="single" w:sz="2" w:space="0" w:color="A6A6A6" w:themeColor="background1" w:themeShade="A6"/>
            </w:tcBorders>
            <w:shd w:val="clear" w:color="auto" w:fill="EDEDED" w:themeFill="accent3"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Identifica y localiza las principales zonas productoras y consumidoras de</w:t>
            </w:r>
            <w:r>
              <w:rPr>
                <w:rFonts w:ascii="Times New Roman" w:hAnsi="Times New Roman" w:cs="Times New Roman"/>
                <w:color w:val="333333"/>
                <w:sz w:val="24"/>
                <w:szCs w:val="24"/>
              </w:rPr>
              <w:t xml:space="preserve"> materias primas y fuentes de</w:t>
            </w:r>
            <w:r w:rsidRPr="00AA1549">
              <w:rPr>
                <w:rFonts w:ascii="Times New Roman" w:hAnsi="Times New Roman" w:cs="Times New Roman"/>
                <w:color w:val="333333"/>
                <w:sz w:val="24"/>
                <w:szCs w:val="24"/>
              </w:rPr>
              <w:t xml:space="preserve"> energía en el mundo.</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484"/>
        </w:trPr>
        <w:tc>
          <w:tcPr>
            <w:tcW w:w="6663" w:type="dxa"/>
            <w:tcBorders>
              <w:bottom w:val="single" w:sz="12" w:space="0" w:color="FFFFFF" w:themeColor="background1"/>
            </w:tcBorders>
            <w:shd w:val="clear" w:color="auto" w:fill="D9E2F3" w:themeFill="accent5" w:themeFillTint="33"/>
          </w:tcPr>
          <w:p w:rsidR="00690D5F" w:rsidRPr="00AA1549" w:rsidRDefault="00690D5F" w:rsidP="00690D5F">
            <w:pPr>
              <w:pStyle w:val="Prrafodelista"/>
              <w:numPr>
                <w:ilvl w:val="0"/>
                <w:numId w:val="2"/>
              </w:numPr>
              <w:spacing w:after="0" w:line="240" w:lineRule="auto"/>
              <w:ind w:left="121" w:hanging="121"/>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Reconocer y explicar la desigual distribución de las regiones industrializadas del planeta.</w:t>
            </w:r>
          </w:p>
        </w:tc>
        <w:tc>
          <w:tcPr>
            <w:tcW w:w="7131" w:type="dxa"/>
            <w:tcBorders>
              <w:bottom w:val="single" w:sz="12" w:space="0" w:color="FFFFFF" w:themeColor="background1"/>
              <w:right w:val="single" w:sz="2" w:space="0" w:color="A6A6A6" w:themeColor="background1" w:themeShade="A6"/>
            </w:tcBorders>
            <w:shd w:val="clear" w:color="auto" w:fill="D9E2F3" w:themeFill="accent5"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Relaciona e</w:t>
            </w:r>
            <w:r>
              <w:rPr>
                <w:rFonts w:ascii="Times New Roman" w:hAnsi="Times New Roman" w:cs="Times New Roman"/>
                <w:color w:val="333333"/>
                <w:sz w:val="24"/>
                <w:szCs w:val="24"/>
              </w:rPr>
              <w:t>l</w:t>
            </w:r>
            <w:r w:rsidRPr="00AA1549">
              <w:rPr>
                <w:rFonts w:ascii="Times New Roman" w:hAnsi="Times New Roman" w:cs="Times New Roman"/>
                <w:color w:val="333333"/>
                <w:sz w:val="24"/>
                <w:szCs w:val="24"/>
              </w:rPr>
              <w:t xml:space="preserve"> nivel de in</w:t>
            </w:r>
            <w:r>
              <w:rPr>
                <w:rFonts w:ascii="Times New Roman" w:hAnsi="Times New Roman" w:cs="Times New Roman"/>
                <w:color w:val="333333"/>
                <w:sz w:val="24"/>
                <w:szCs w:val="24"/>
              </w:rPr>
              <w:t xml:space="preserve">dustrialización </w:t>
            </w:r>
            <w:r w:rsidRPr="00AA1549">
              <w:rPr>
                <w:rFonts w:ascii="Times New Roman" w:hAnsi="Times New Roman" w:cs="Times New Roman"/>
                <w:color w:val="333333"/>
                <w:sz w:val="24"/>
                <w:szCs w:val="24"/>
              </w:rPr>
              <w:t>con la disponibilidad de recursos.</w:t>
            </w:r>
          </w:p>
        </w:tc>
        <w:tc>
          <w:tcPr>
            <w:tcW w:w="283" w:type="dxa"/>
            <w:tcBorders>
              <w:top w:val="single" w:sz="2" w:space="0" w:color="A6A6A6" w:themeColor="background1" w:themeShade="A6"/>
              <w:left w:val="single" w:sz="2" w:space="0" w:color="A6A6A6" w:themeColor="background1" w:themeShade="A6"/>
              <w:bottom w:val="single" w:sz="6" w:space="0" w:color="A6A6A6" w:themeColor="background1" w:themeShade="A6"/>
              <w:right w:val="single" w:sz="6"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6" w:space="0" w:color="A6A6A6" w:themeColor="background1" w:themeShade="A6"/>
              <w:bottom w:val="single" w:sz="6"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165"/>
        </w:trPr>
        <w:tc>
          <w:tcPr>
            <w:tcW w:w="6663" w:type="dxa"/>
            <w:shd w:val="clear" w:color="auto" w:fill="EDEDED" w:themeFill="accent3" w:themeFillTint="33"/>
          </w:tcPr>
          <w:p w:rsidR="00690D5F" w:rsidRPr="00AA1549" w:rsidRDefault="00690D5F" w:rsidP="00690D5F">
            <w:pPr>
              <w:pStyle w:val="Prrafodelista"/>
              <w:numPr>
                <w:ilvl w:val="0"/>
                <w:numId w:val="2"/>
              </w:numPr>
              <w:spacing w:after="0" w:line="240" w:lineRule="auto"/>
              <w:ind w:left="121" w:hanging="121"/>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Identificar las actividades del sector terciario.</w:t>
            </w:r>
          </w:p>
        </w:tc>
        <w:tc>
          <w:tcPr>
            <w:tcW w:w="7131" w:type="dxa"/>
            <w:tcBorders>
              <w:right w:val="single" w:sz="2" w:space="0" w:color="A6A6A6" w:themeColor="background1" w:themeShade="A6"/>
            </w:tcBorders>
            <w:shd w:val="clear" w:color="auto" w:fill="EDEDED" w:themeFill="accent3"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Realiza un cuad</w:t>
            </w:r>
            <w:r>
              <w:rPr>
                <w:rFonts w:ascii="Times New Roman" w:hAnsi="Times New Roman" w:cs="Times New Roman"/>
                <w:color w:val="333333"/>
                <w:sz w:val="24"/>
                <w:szCs w:val="24"/>
              </w:rPr>
              <w:t xml:space="preserve">ro resumen sobre las actividades </w:t>
            </w:r>
            <w:r w:rsidRPr="00AA1549">
              <w:rPr>
                <w:rFonts w:ascii="Times New Roman" w:hAnsi="Times New Roman" w:cs="Times New Roman"/>
                <w:color w:val="333333"/>
                <w:sz w:val="24"/>
                <w:szCs w:val="24"/>
              </w:rPr>
              <w:t>del sector terciario.</w:t>
            </w:r>
          </w:p>
        </w:tc>
        <w:tc>
          <w:tcPr>
            <w:tcW w:w="283" w:type="dxa"/>
            <w:tcBorders>
              <w:top w:val="single" w:sz="6" w:space="0" w:color="A6A6A6" w:themeColor="background1" w:themeShade="A6"/>
              <w:left w:val="single" w:sz="2" w:space="0" w:color="A6A6A6" w:themeColor="background1" w:themeShade="A6"/>
              <w:bottom w:val="single" w:sz="2" w:space="0" w:color="A6A6A6" w:themeColor="background1" w:themeShade="A6"/>
              <w:right w:val="single" w:sz="6"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6" w:space="0" w:color="A6A6A6" w:themeColor="background1" w:themeShade="A6"/>
              <w:left w:val="single" w:sz="6" w:space="0" w:color="A6A6A6" w:themeColor="background1" w:themeShade="A6"/>
              <w:bottom w:val="single" w:sz="2" w:space="0" w:color="A6A6A6" w:themeColor="background1" w:themeShade="A6"/>
              <w:right w:val="single" w:sz="6"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6" w:space="0" w:color="A6A6A6" w:themeColor="background1" w:themeShade="A6"/>
              <w:left w:val="single" w:sz="6" w:space="0" w:color="A6A6A6" w:themeColor="background1" w:themeShade="A6"/>
              <w:bottom w:val="single" w:sz="2" w:space="0" w:color="A6A6A6" w:themeColor="background1" w:themeShade="A6"/>
              <w:right w:val="single" w:sz="6"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6" w:space="0" w:color="A6A6A6" w:themeColor="background1" w:themeShade="A6"/>
              <w:left w:val="single" w:sz="6" w:space="0" w:color="A6A6A6" w:themeColor="background1" w:themeShade="A6"/>
              <w:bottom w:val="single" w:sz="2" w:space="0" w:color="A6A6A6" w:themeColor="background1" w:themeShade="A6"/>
              <w:right w:val="single" w:sz="6"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6" w:space="0" w:color="A6A6A6" w:themeColor="background1" w:themeShade="A6"/>
              <w:left w:val="single" w:sz="6" w:space="0" w:color="A6A6A6" w:themeColor="background1" w:themeShade="A6"/>
              <w:bottom w:val="single" w:sz="2" w:space="0" w:color="A6A6A6" w:themeColor="background1" w:themeShade="A6"/>
              <w:right w:val="single" w:sz="6"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6" w:space="0" w:color="A6A6A6" w:themeColor="background1" w:themeShade="A6"/>
              <w:left w:val="single" w:sz="6" w:space="0" w:color="A6A6A6" w:themeColor="background1" w:themeShade="A6"/>
              <w:bottom w:val="single" w:sz="2" w:space="0" w:color="A6A6A6" w:themeColor="background1" w:themeShade="A6"/>
              <w:right w:val="single" w:sz="6"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6" w:space="0" w:color="A6A6A6" w:themeColor="background1" w:themeShade="A6"/>
              <w:left w:val="single" w:sz="6"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165"/>
        </w:trPr>
        <w:tc>
          <w:tcPr>
            <w:tcW w:w="6663" w:type="dxa"/>
            <w:tcBorders>
              <w:bottom w:val="single" w:sz="12" w:space="0" w:color="FFFFFF" w:themeColor="background1"/>
            </w:tcBorders>
            <w:shd w:val="clear" w:color="auto" w:fill="D9E2F3" w:themeFill="accent5" w:themeFillTint="33"/>
          </w:tcPr>
          <w:p w:rsidR="00690D5F" w:rsidRPr="00AA1549" w:rsidRDefault="00690D5F" w:rsidP="00690D5F">
            <w:pPr>
              <w:pStyle w:val="Prrafodelista"/>
              <w:numPr>
                <w:ilvl w:val="0"/>
                <w:numId w:val="2"/>
              </w:numPr>
              <w:spacing w:after="0" w:line="240" w:lineRule="auto"/>
              <w:ind w:left="121" w:hanging="121"/>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Analizar con datos estadístic</w:t>
            </w:r>
            <w:r>
              <w:rPr>
                <w:rFonts w:ascii="Times New Roman" w:hAnsi="Times New Roman" w:cs="Times New Roman"/>
                <w:color w:val="333333"/>
                <w:sz w:val="24"/>
                <w:szCs w:val="24"/>
              </w:rPr>
              <w:t>os el peso del sector terciario,</w:t>
            </w:r>
            <w:r w:rsidRPr="00AA1549">
              <w:rPr>
                <w:rFonts w:ascii="Times New Roman" w:hAnsi="Times New Roman" w:cs="Times New Roman"/>
                <w:color w:val="333333"/>
                <w:sz w:val="24"/>
                <w:szCs w:val="24"/>
              </w:rPr>
              <w:t xml:space="preserve"> frente a los de los</w:t>
            </w:r>
            <w:r>
              <w:rPr>
                <w:rFonts w:ascii="Times New Roman" w:hAnsi="Times New Roman" w:cs="Times New Roman"/>
                <w:color w:val="333333"/>
                <w:sz w:val="24"/>
                <w:szCs w:val="24"/>
              </w:rPr>
              <w:t xml:space="preserve"> sectores primario y secundario</w:t>
            </w:r>
            <w:r w:rsidRPr="00AA1549">
              <w:rPr>
                <w:rFonts w:ascii="Times New Roman" w:hAnsi="Times New Roman" w:cs="Times New Roman"/>
                <w:color w:val="333333"/>
                <w:sz w:val="24"/>
                <w:szCs w:val="24"/>
              </w:rPr>
              <w:t xml:space="preserve"> en las diferentes áreas del planeta, extrayendo con ello conclusiones.</w:t>
            </w:r>
          </w:p>
        </w:tc>
        <w:tc>
          <w:tcPr>
            <w:tcW w:w="7131" w:type="dxa"/>
            <w:tcBorders>
              <w:bottom w:val="single" w:sz="12" w:space="0" w:color="FFFFFF" w:themeColor="background1"/>
              <w:right w:val="single" w:sz="2" w:space="0" w:color="A6A6A6" w:themeColor="background1" w:themeShade="A6"/>
            </w:tcBorders>
            <w:shd w:val="clear" w:color="auto" w:fill="D9E2F3" w:themeFill="accent5"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Relaciona la población activa en cada uno de los sectores económicos con el grado de desarrollo de las distintas regiones del planeta.</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457"/>
        </w:trPr>
        <w:tc>
          <w:tcPr>
            <w:tcW w:w="6663" w:type="dxa"/>
            <w:vMerge w:val="restart"/>
            <w:shd w:val="clear" w:color="auto" w:fill="EDEDED" w:themeFill="accent3" w:themeFillTint="33"/>
          </w:tcPr>
          <w:p w:rsidR="00690D5F" w:rsidRPr="00AA1549" w:rsidRDefault="00690D5F" w:rsidP="00690D5F">
            <w:pPr>
              <w:pStyle w:val="Prrafodelista"/>
              <w:numPr>
                <w:ilvl w:val="0"/>
                <w:numId w:val="2"/>
              </w:numPr>
              <w:spacing w:after="0" w:line="240" w:lineRule="auto"/>
              <w:ind w:left="121" w:hanging="121"/>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Analizar el impacto de las actividades terciarias en las diversas áreas mundiales, especialmente el del turismo y el transporte.</w:t>
            </w:r>
          </w:p>
        </w:tc>
        <w:tc>
          <w:tcPr>
            <w:tcW w:w="7131" w:type="dxa"/>
            <w:tcBorders>
              <w:bottom w:val="single" w:sz="12" w:space="0" w:color="FFFFFF" w:themeColor="background1"/>
              <w:right w:val="single" w:sz="2" w:space="0" w:color="A6A6A6" w:themeColor="background1" w:themeShade="A6"/>
            </w:tcBorders>
            <w:shd w:val="clear" w:color="auto" w:fill="EDEDED" w:themeFill="accent3"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Identifica y localiza en un mapa las diferentes redes de transporte y sus principales nodos a nivel mundial.</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227"/>
        </w:trPr>
        <w:tc>
          <w:tcPr>
            <w:tcW w:w="6663" w:type="dxa"/>
            <w:vMerge/>
            <w:shd w:val="clear" w:color="auto" w:fill="EDEDED" w:themeFill="accent3" w:themeFillTint="33"/>
          </w:tcPr>
          <w:p w:rsidR="00690D5F" w:rsidRPr="00AA1549" w:rsidRDefault="00690D5F" w:rsidP="00690D5F">
            <w:pPr>
              <w:pStyle w:val="Prrafodelista"/>
              <w:numPr>
                <w:ilvl w:val="0"/>
                <w:numId w:val="2"/>
              </w:numPr>
              <w:spacing w:after="0" w:line="240" w:lineRule="auto"/>
              <w:ind w:left="238" w:hanging="238"/>
              <w:jc w:val="both"/>
              <w:rPr>
                <w:rFonts w:ascii="Times New Roman" w:hAnsi="Times New Roman" w:cs="Times New Roman"/>
                <w:color w:val="333333"/>
                <w:sz w:val="24"/>
                <w:szCs w:val="24"/>
              </w:rPr>
            </w:pPr>
          </w:p>
        </w:tc>
        <w:tc>
          <w:tcPr>
            <w:tcW w:w="7131" w:type="dxa"/>
            <w:tcBorders>
              <w:right w:val="single" w:sz="2" w:space="0" w:color="A6A6A6" w:themeColor="background1" w:themeShade="A6"/>
            </w:tcBorders>
            <w:shd w:val="clear" w:color="auto" w:fill="EDEDED" w:themeFill="accent3"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Ana</w:t>
            </w:r>
            <w:r>
              <w:rPr>
                <w:rFonts w:ascii="Times New Roman" w:hAnsi="Times New Roman" w:cs="Times New Roman"/>
                <w:color w:val="333333"/>
                <w:sz w:val="24"/>
                <w:szCs w:val="24"/>
              </w:rPr>
              <w:t xml:space="preserve">liza los </w:t>
            </w:r>
            <w:r w:rsidRPr="00AA1549">
              <w:rPr>
                <w:rFonts w:ascii="Times New Roman" w:hAnsi="Times New Roman" w:cs="Times New Roman"/>
                <w:color w:val="333333"/>
                <w:sz w:val="24"/>
                <w:szCs w:val="24"/>
              </w:rPr>
              <w:t>impactos de la actividad turí</w:t>
            </w:r>
            <w:r>
              <w:rPr>
                <w:rFonts w:ascii="Times New Roman" w:hAnsi="Times New Roman" w:cs="Times New Roman"/>
                <w:color w:val="333333"/>
                <w:sz w:val="24"/>
                <w:szCs w:val="24"/>
              </w:rPr>
              <w:t>stica.</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486"/>
        </w:trPr>
        <w:tc>
          <w:tcPr>
            <w:tcW w:w="6663" w:type="dxa"/>
            <w:tcBorders>
              <w:bottom w:val="single" w:sz="12" w:space="0" w:color="FFFFFF" w:themeColor="background1"/>
            </w:tcBorders>
            <w:shd w:val="clear" w:color="auto" w:fill="D9E2F3" w:themeFill="accent5" w:themeFillTint="33"/>
          </w:tcPr>
          <w:p w:rsidR="00690D5F" w:rsidRPr="00AA1549" w:rsidRDefault="00690D5F" w:rsidP="00690D5F">
            <w:pPr>
              <w:pStyle w:val="Prrafodelista"/>
              <w:numPr>
                <w:ilvl w:val="0"/>
                <w:numId w:val="2"/>
              </w:numPr>
              <w:spacing w:after="0" w:line="240" w:lineRule="auto"/>
              <w:ind w:left="121" w:hanging="121"/>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Identificar las diferentes fases del proceso de urbanización en el contexto occidental.</w:t>
            </w:r>
          </w:p>
        </w:tc>
        <w:tc>
          <w:tcPr>
            <w:tcW w:w="7131" w:type="dxa"/>
            <w:tcBorders>
              <w:bottom w:val="single" w:sz="12" w:space="0" w:color="FFFFFF" w:themeColor="background1"/>
              <w:right w:val="single" w:sz="2" w:space="0" w:color="A6A6A6" w:themeColor="background1" w:themeShade="A6"/>
            </w:tcBorders>
            <w:shd w:val="clear" w:color="auto" w:fill="D9E2F3" w:themeFill="accent5"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Analiza y explica distintos tipos de planos urbanos de diferentes momentos históricos.</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229"/>
        </w:trPr>
        <w:tc>
          <w:tcPr>
            <w:tcW w:w="6663" w:type="dxa"/>
            <w:vMerge w:val="restart"/>
            <w:shd w:val="clear" w:color="auto" w:fill="EDEDED" w:themeFill="accent3" w:themeFillTint="33"/>
          </w:tcPr>
          <w:p w:rsidR="00690D5F" w:rsidRPr="00831CFE" w:rsidRDefault="00690D5F" w:rsidP="00690D5F">
            <w:pPr>
              <w:pStyle w:val="Prrafodelista"/>
              <w:numPr>
                <w:ilvl w:val="0"/>
                <w:numId w:val="2"/>
              </w:numPr>
              <w:spacing w:after="0" w:line="240" w:lineRule="auto"/>
              <w:ind w:left="121" w:hanging="121"/>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Identificar las grandes áreas urbanas a escala planetaria, usando para ello la terminología y tipologías adecuada, y valorando dicha localización en función del nivel de desarrollo económico de cada región.</w:t>
            </w:r>
          </w:p>
        </w:tc>
        <w:tc>
          <w:tcPr>
            <w:tcW w:w="7131" w:type="dxa"/>
            <w:tcBorders>
              <w:bottom w:val="single" w:sz="12" w:space="0" w:color="FFFFFF" w:themeColor="background1"/>
              <w:right w:val="single" w:sz="2" w:space="0" w:color="A6A6A6" w:themeColor="background1" w:themeShade="A6"/>
            </w:tcBorders>
            <w:shd w:val="clear" w:color="auto" w:fill="EDEDED" w:themeFill="accent3"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Explica las diferencias entre lo rural y lo urbano.</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249"/>
        </w:trPr>
        <w:tc>
          <w:tcPr>
            <w:tcW w:w="6663" w:type="dxa"/>
            <w:vMerge/>
            <w:shd w:val="clear" w:color="auto" w:fill="EDEDED" w:themeFill="accent3" w:themeFillTint="33"/>
          </w:tcPr>
          <w:p w:rsidR="00690D5F" w:rsidRPr="00AA1549" w:rsidRDefault="00690D5F" w:rsidP="00690D5F">
            <w:pPr>
              <w:pStyle w:val="Prrafodelista"/>
              <w:numPr>
                <w:ilvl w:val="0"/>
                <w:numId w:val="2"/>
              </w:numPr>
              <w:spacing w:after="0" w:line="240" w:lineRule="auto"/>
              <w:ind w:left="238" w:hanging="238"/>
              <w:jc w:val="both"/>
              <w:rPr>
                <w:rFonts w:ascii="Times New Roman" w:hAnsi="Times New Roman" w:cs="Times New Roman"/>
                <w:color w:val="333333"/>
                <w:sz w:val="24"/>
                <w:szCs w:val="24"/>
              </w:rPr>
            </w:pPr>
          </w:p>
        </w:tc>
        <w:tc>
          <w:tcPr>
            <w:tcW w:w="7131" w:type="dxa"/>
            <w:tcBorders>
              <w:bottom w:val="single" w:sz="12" w:space="0" w:color="FFFFFF" w:themeColor="background1"/>
              <w:right w:val="single" w:sz="2" w:space="0" w:color="A6A6A6" w:themeColor="background1" w:themeShade="A6"/>
            </w:tcBorders>
            <w:shd w:val="clear" w:color="auto" w:fill="EDEDED" w:themeFill="accent3"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Distingue los diversos tipos de ciudades y aglomeraciones urbanas.</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432"/>
        </w:trPr>
        <w:tc>
          <w:tcPr>
            <w:tcW w:w="6663" w:type="dxa"/>
            <w:vMerge/>
            <w:shd w:val="clear" w:color="auto" w:fill="EDEDED" w:themeFill="accent3" w:themeFillTint="33"/>
          </w:tcPr>
          <w:p w:rsidR="00690D5F" w:rsidRPr="00AA1549" w:rsidRDefault="00690D5F" w:rsidP="00690D5F">
            <w:pPr>
              <w:pStyle w:val="Prrafodelista"/>
              <w:numPr>
                <w:ilvl w:val="0"/>
                <w:numId w:val="2"/>
              </w:numPr>
              <w:spacing w:after="0" w:line="240" w:lineRule="auto"/>
              <w:ind w:left="238" w:hanging="238"/>
              <w:jc w:val="both"/>
              <w:rPr>
                <w:rFonts w:ascii="Times New Roman" w:hAnsi="Times New Roman" w:cs="Times New Roman"/>
                <w:color w:val="333333"/>
                <w:sz w:val="24"/>
                <w:szCs w:val="24"/>
              </w:rPr>
            </w:pPr>
          </w:p>
        </w:tc>
        <w:tc>
          <w:tcPr>
            <w:tcW w:w="7131" w:type="dxa"/>
            <w:tcBorders>
              <w:bottom w:val="single" w:sz="12" w:space="0" w:color="FFFFFF" w:themeColor="background1"/>
              <w:right w:val="single" w:sz="2" w:space="0" w:color="A6A6A6" w:themeColor="background1" w:themeShade="A6"/>
            </w:tcBorders>
            <w:shd w:val="clear" w:color="auto" w:fill="EDEDED" w:themeFill="accent3"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Ident</w:t>
            </w:r>
            <w:r>
              <w:rPr>
                <w:rFonts w:ascii="Times New Roman" w:hAnsi="Times New Roman" w:cs="Times New Roman"/>
                <w:color w:val="333333"/>
                <w:sz w:val="24"/>
                <w:szCs w:val="24"/>
              </w:rPr>
              <w:t>ifica y localiza en un mapa</w:t>
            </w:r>
            <w:r w:rsidRPr="00AA1549">
              <w:rPr>
                <w:rFonts w:ascii="Times New Roman" w:hAnsi="Times New Roman" w:cs="Times New Roman"/>
                <w:color w:val="333333"/>
                <w:sz w:val="24"/>
                <w:szCs w:val="24"/>
              </w:rPr>
              <w:t xml:space="preserve"> las grandes aglomeraciones urbanas a nivel mundial.</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545"/>
        </w:trPr>
        <w:tc>
          <w:tcPr>
            <w:tcW w:w="6663" w:type="dxa"/>
            <w:vMerge/>
            <w:shd w:val="clear" w:color="auto" w:fill="EDEDED" w:themeFill="accent3" w:themeFillTint="33"/>
          </w:tcPr>
          <w:p w:rsidR="00690D5F" w:rsidRPr="00AA1549" w:rsidRDefault="00690D5F" w:rsidP="00690D5F">
            <w:pPr>
              <w:pStyle w:val="Prrafodelista"/>
              <w:numPr>
                <w:ilvl w:val="0"/>
                <w:numId w:val="2"/>
              </w:numPr>
              <w:spacing w:after="0" w:line="240" w:lineRule="auto"/>
              <w:ind w:left="238" w:hanging="238"/>
              <w:jc w:val="both"/>
              <w:rPr>
                <w:rFonts w:ascii="Times New Roman" w:hAnsi="Times New Roman" w:cs="Times New Roman"/>
                <w:color w:val="333333"/>
                <w:sz w:val="24"/>
                <w:szCs w:val="24"/>
              </w:rPr>
            </w:pPr>
          </w:p>
        </w:tc>
        <w:tc>
          <w:tcPr>
            <w:tcW w:w="7131" w:type="dxa"/>
            <w:tcBorders>
              <w:right w:val="single" w:sz="2" w:space="0" w:color="A6A6A6" w:themeColor="background1" w:themeShade="A6"/>
            </w:tcBorders>
            <w:shd w:val="clear" w:color="auto" w:fill="EDEDED" w:themeFill="accent3"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Pr>
                <w:rFonts w:ascii="Times New Roman" w:hAnsi="Times New Roman" w:cs="Times New Roman"/>
                <w:color w:val="333333"/>
                <w:sz w:val="24"/>
                <w:szCs w:val="24"/>
              </w:rPr>
              <w:t>Analiza</w:t>
            </w:r>
            <w:r w:rsidRPr="00AA1549">
              <w:rPr>
                <w:rFonts w:ascii="Times New Roman" w:hAnsi="Times New Roman" w:cs="Times New Roman"/>
                <w:color w:val="333333"/>
                <w:sz w:val="24"/>
                <w:szCs w:val="24"/>
              </w:rPr>
              <w:t xml:space="preserve"> gráficos con datos del crecimiento de la población urbana en el mundo y hace una comparación por regiones.</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625"/>
        </w:trPr>
        <w:tc>
          <w:tcPr>
            <w:tcW w:w="6663" w:type="dxa"/>
            <w:vMerge w:val="restart"/>
            <w:shd w:val="clear" w:color="auto" w:fill="D9E2F3" w:themeFill="accent5" w:themeFillTint="33"/>
          </w:tcPr>
          <w:p w:rsidR="00690D5F" w:rsidRPr="00AA1549" w:rsidRDefault="00690D5F" w:rsidP="00690D5F">
            <w:pPr>
              <w:pStyle w:val="Prrafodelista"/>
              <w:numPr>
                <w:ilvl w:val="0"/>
                <w:numId w:val="2"/>
              </w:numPr>
              <w:spacing w:after="0" w:line="240" w:lineRule="auto"/>
              <w:ind w:left="121" w:hanging="121"/>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Identificar el papel de las grandes ciudades a nivel mundial como dinamizadoras de la economía de sus regiones.</w:t>
            </w:r>
          </w:p>
        </w:tc>
        <w:tc>
          <w:tcPr>
            <w:tcW w:w="7131" w:type="dxa"/>
            <w:tcBorders>
              <w:right w:val="single" w:sz="2" w:space="0" w:color="A6A6A6" w:themeColor="background1" w:themeShade="A6"/>
            </w:tcBorders>
            <w:shd w:val="clear" w:color="auto" w:fill="D9E2F3" w:themeFill="accent5"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Describe adecuadamente el funcionamiento de los flujos a nivel internacional utilizando mapas temáticos y gráficos en los que se refleja las líneas de intercambio.</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469"/>
        </w:trPr>
        <w:tc>
          <w:tcPr>
            <w:tcW w:w="6663" w:type="dxa"/>
            <w:vMerge/>
            <w:tcBorders>
              <w:bottom w:val="single" w:sz="12" w:space="0" w:color="FFFFFF" w:themeColor="background1"/>
            </w:tcBorders>
            <w:shd w:val="clear" w:color="auto" w:fill="D9E2F3" w:themeFill="accent5" w:themeFillTint="33"/>
          </w:tcPr>
          <w:p w:rsidR="00690D5F" w:rsidRPr="00AA1549" w:rsidRDefault="00690D5F" w:rsidP="00690D5F">
            <w:pPr>
              <w:pStyle w:val="Prrafodelista"/>
              <w:numPr>
                <w:ilvl w:val="0"/>
                <w:numId w:val="2"/>
              </w:numPr>
              <w:spacing w:after="0" w:line="240" w:lineRule="auto"/>
              <w:ind w:left="238" w:hanging="238"/>
              <w:jc w:val="both"/>
              <w:rPr>
                <w:rFonts w:ascii="Times New Roman" w:hAnsi="Times New Roman" w:cs="Times New Roman"/>
                <w:color w:val="333333"/>
                <w:sz w:val="24"/>
                <w:szCs w:val="24"/>
              </w:rPr>
            </w:pPr>
          </w:p>
        </w:tc>
        <w:tc>
          <w:tcPr>
            <w:tcW w:w="7131" w:type="dxa"/>
            <w:tcBorders>
              <w:bottom w:val="single" w:sz="12" w:space="0" w:color="FFFFFF" w:themeColor="background1"/>
              <w:right w:val="single" w:sz="2" w:space="0" w:color="A6A6A6" w:themeColor="background1" w:themeShade="A6"/>
            </w:tcBorders>
            <w:shd w:val="clear" w:color="auto" w:fill="D9E2F3" w:themeFill="accent5"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Relaciona la red urbana de distintos países o áreas regionales a nivel mundial, con el grado de desarrollo de las mismas.</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165"/>
        </w:trPr>
        <w:tc>
          <w:tcPr>
            <w:tcW w:w="6663" w:type="dxa"/>
            <w:vMerge w:val="restart"/>
            <w:shd w:val="clear" w:color="auto" w:fill="EDEDED" w:themeFill="accent3" w:themeFillTint="33"/>
          </w:tcPr>
          <w:p w:rsidR="00690D5F" w:rsidRPr="00AA1549" w:rsidRDefault="00690D5F" w:rsidP="00690D5F">
            <w:pPr>
              <w:pStyle w:val="Prrafodelista"/>
              <w:numPr>
                <w:ilvl w:val="0"/>
                <w:numId w:val="2"/>
              </w:numPr>
              <w:spacing w:after="0" w:line="240" w:lineRule="auto"/>
              <w:ind w:left="121" w:hanging="121"/>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Reconocer el grado de desarrollo de las actividades económicas europeas en cada uno de los sectores económicos.</w:t>
            </w:r>
          </w:p>
        </w:tc>
        <w:tc>
          <w:tcPr>
            <w:tcW w:w="7131" w:type="dxa"/>
            <w:tcBorders>
              <w:bottom w:val="single" w:sz="12" w:space="0" w:color="FFFFFF" w:themeColor="background1"/>
              <w:right w:val="single" w:sz="2" w:space="0" w:color="A6A6A6" w:themeColor="background1" w:themeShade="A6"/>
            </w:tcBorders>
            <w:shd w:val="clear" w:color="auto" w:fill="EDEDED" w:themeFill="accent3"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Sitúa en un mapa las grandes áreas cultivadas del continente europeo, reg</w:t>
            </w:r>
            <w:r>
              <w:rPr>
                <w:rFonts w:ascii="Times New Roman" w:hAnsi="Times New Roman" w:cs="Times New Roman"/>
                <w:color w:val="333333"/>
                <w:sz w:val="24"/>
                <w:szCs w:val="24"/>
              </w:rPr>
              <w:t>iones ganaderas y masas boscosas.</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494"/>
        </w:trPr>
        <w:tc>
          <w:tcPr>
            <w:tcW w:w="6663" w:type="dxa"/>
            <w:vMerge/>
            <w:shd w:val="clear" w:color="auto" w:fill="EDEDED" w:themeFill="accent3" w:themeFillTint="33"/>
          </w:tcPr>
          <w:p w:rsidR="00690D5F" w:rsidRPr="00AA1549" w:rsidRDefault="00690D5F" w:rsidP="00690D5F">
            <w:pPr>
              <w:pStyle w:val="Prrafodelista"/>
              <w:numPr>
                <w:ilvl w:val="0"/>
                <w:numId w:val="2"/>
              </w:numPr>
              <w:spacing w:after="0" w:line="240" w:lineRule="auto"/>
              <w:ind w:left="238" w:hanging="238"/>
              <w:jc w:val="both"/>
              <w:rPr>
                <w:rFonts w:ascii="Times New Roman" w:hAnsi="Times New Roman" w:cs="Times New Roman"/>
                <w:color w:val="333333"/>
                <w:sz w:val="24"/>
                <w:szCs w:val="24"/>
              </w:rPr>
            </w:pPr>
          </w:p>
        </w:tc>
        <w:tc>
          <w:tcPr>
            <w:tcW w:w="7131" w:type="dxa"/>
            <w:tcBorders>
              <w:right w:val="single" w:sz="2" w:space="0" w:color="A6A6A6" w:themeColor="background1" w:themeShade="A6"/>
            </w:tcBorders>
            <w:shd w:val="clear" w:color="auto" w:fill="EDEDED" w:themeFill="accent3"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Lo</w:t>
            </w:r>
            <w:r>
              <w:rPr>
                <w:rFonts w:ascii="Times New Roman" w:hAnsi="Times New Roman" w:cs="Times New Roman"/>
                <w:color w:val="333333"/>
                <w:sz w:val="24"/>
                <w:szCs w:val="24"/>
              </w:rPr>
              <w:t>caliza en un mapa las</w:t>
            </w:r>
            <w:r w:rsidRPr="00AA1549">
              <w:rPr>
                <w:rFonts w:ascii="Times New Roman" w:hAnsi="Times New Roman" w:cs="Times New Roman"/>
                <w:color w:val="333333"/>
                <w:sz w:val="24"/>
                <w:szCs w:val="24"/>
              </w:rPr>
              <w:t xml:space="preserve"> fuentes de energía y materias primas dispo</w:t>
            </w:r>
            <w:r>
              <w:rPr>
                <w:rFonts w:ascii="Times New Roman" w:hAnsi="Times New Roman" w:cs="Times New Roman"/>
                <w:color w:val="333333"/>
                <w:sz w:val="24"/>
                <w:szCs w:val="24"/>
              </w:rPr>
              <w:t>nibles en Europa y las relaciona con sus regiones industriales.</w:t>
            </w:r>
          </w:p>
        </w:tc>
        <w:tc>
          <w:tcPr>
            <w:tcW w:w="283" w:type="dxa"/>
            <w:tcBorders>
              <w:top w:val="single" w:sz="2" w:space="0" w:color="A6A6A6" w:themeColor="background1" w:themeShade="A6"/>
              <w:left w:val="single" w:sz="2" w:space="0" w:color="A6A6A6" w:themeColor="background1" w:themeShade="A6"/>
              <w:bottom w:val="single" w:sz="6" w:space="0" w:color="A6A6A6" w:themeColor="background1" w:themeShade="A6"/>
              <w:right w:val="single" w:sz="6" w:space="0" w:color="A6A6A6" w:themeColor="background1" w:themeShade="A6"/>
            </w:tcBorders>
            <w:shd w:val="clear" w:color="auto" w:fill="auto"/>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6" w:space="0" w:color="A6A6A6" w:themeColor="background1" w:themeShade="A6"/>
              <w:bottom w:val="single" w:sz="6" w:space="0" w:color="A6A6A6" w:themeColor="background1" w:themeShade="A6"/>
              <w:right w:val="nil"/>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493"/>
        </w:trPr>
        <w:tc>
          <w:tcPr>
            <w:tcW w:w="6663" w:type="dxa"/>
            <w:vMerge/>
            <w:shd w:val="clear" w:color="auto" w:fill="EDEDED" w:themeFill="accent3" w:themeFillTint="33"/>
          </w:tcPr>
          <w:p w:rsidR="00690D5F" w:rsidRPr="00AA1549" w:rsidRDefault="00690D5F" w:rsidP="00690D5F">
            <w:pPr>
              <w:pStyle w:val="Prrafodelista"/>
              <w:numPr>
                <w:ilvl w:val="0"/>
                <w:numId w:val="2"/>
              </w:numPr>
              <w:spacing w:after="0" w:line="240" w:lineRule="auto"/>
              <w:ind w:left="238" w:hanging="238"/>
              <w:jc w:val="both"/>
              <w:rPr>
                <w:rFonts w:ascii="Times New Roman" w:hAnsi="Times New Roman" w:cs="Times New Roman"/>
                <w:color w:val="333333"/>
                <w:sz w:val="24"/>
                <w:szCs w:val="24"/>
              </w:rPr>
            </w:pPr>
          </w:p>
        </w:tc>
        <w:tc>
          <w:tcPr>
            <w:tcW w:w="7131" w:type="dxa"/>
            <w:tcBorders>
              <w:right w:val="single" w:sz="2" w:space="0" w:color="A6A6A6" w:themeColor="background1" w:themeShade="A6"/>
            </w:tcBorders>
            <w:shd w:val="clear" w:color="auto" w:fill="EDEDED" w:themeFill="accent3"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Valora la importancia del s</w:t>
            </w:r>
            <w:r>
              <w:rPr>
                <w:rFonts w:ascii="Times New Roman" w:hAnsi="Times New Roman" w:cs="Times New Roman"/>
                <w:color w:val="333333"/>
                <w:sz w:val="24"/>
                <w:szCs w:val="24"/>
              </w:rPr>
              <w:t>ector terciario en las</w:t>
            </w:r>
            <w:r w:rsidRPr="00AA1549">
              <w:rPr>
                <w:rFonts w:ascii="Times New Roman" w:hAnsi="Times New Roman" w:cs="Times New Roman"/>
                <w:color w:val="333333"/>
                <w:sz w:val="24"/>
                <w:szCs w:val="24"/>
              </w:rPr>
              <w:t xml:space="preserve"> economías europeas mediante</w:t>
            </w:r>
            <w:r>
              <w:rPr>
                <w:rFonts w:ascii="Times New Roman" w:hAnsi="Times New Roman" w:cs="Times New Roman"/>
                <w:color w:val="333333"/>
                <w:sz w:val="24"/>
                <w:szCs w:val="24"/>
              </w:rPr>
              <w:t xml:space="preserve"> el apoyo en datos estadísticos y mapas temáticos.</w:t>
            </w:r>
          </w:p>
        </w:tc>
        <w:tc>
          <w:tcPr>
            <w:tcW w:w="283" w:type="dxa"/>
            <w:tcBorders>
              <w:top w:val="single" w:sz="6" w:space="0" w:color="A6A6A6" w:themeColor="background1" w:themeShade="A6"/>
              <w:left w:val="single" w:sz="2" w:space="0" w:color="A6A6A6" w:themeColor="background1" w:themeShade="A6"/>
              <w:bottom w:val="single" w:sz="2" w:space="0" w:color="A6A6A6" w:themeColor="background1" w:themeShade="A6"/>
              <w:right w:val="single" w:sz="6" w:space="0" w:color="A6A6A6" w:themeColor="background1" w:themeShade="A6"/>
            </w:tcBorders>
            <w:shd w:val="clear" w:color="auto" w:fill="auto"/>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6" w:space="0" w:color="A6A6A6" w:themeColor="background1" w:themeShade="A6"/>
              <w:left w:val="single" w:sz="6" w:space="0" w:color="A6A6A6" w:themeColor="background1" w:themeShade="A6"/>
              <w:bottom w:val="single" w:sz="2" w:space="0" w:color="A6A6A6" w:themeColor="background1" w:themeShade="A6"/>
              <w:right w:val="single" w:sz="6"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6" w:space="0" w:color="A6A6A6" w:themeColor="background1" w:themeShade="A6"/>
              <w:left w:val="single" w:sz="6" w:space="0" w:color="A6A6A6" w:themeColor="background1" w:themeShade="A6"/>
              <w:bottom w:val="single" w:sz="2" w:space="0" w:color="A6A6A6" w:themeColor="background1" w:themeShade="A6"/>
              <w:right w:val="single" w:sz="6"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6" w:space="0" w:color="A6A6A6" w:themeColor="background1" w:themeShade="A6"/>
              <w:left w:val="single" w:sz="6" w:space="0" w:color="A6A6A6" w:themeColor="background1" w:themeShade="A6"/>
              <w:bottom w:val="single" w:sz="2" w:space="0" w:color="A6A6A6" w:themeColor="background1" w:themeShade="A6"/>
              <w:right w:val="single" w:sz="6"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6" w:space="0" w:color="A6A6A6" w:themeColor="background1" w:themeShade="A6"/>
              <w:left w:val="single" w:sz="6" w:space="0" w:color="A6A6A6" w:themeColor="background1" w:themeShade="A6"/>
              <w:bottom w:val="single" w:sz="2" w:space="0" w:color="A6A6A6" w:themeColor="background1" w:themeShade="A6"/>
              <w:right w:val="single" w:sz="6"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6" w:space="0" w:color="A6A6A6" w:themeColor="background1" w:themeShade="A6"/>
              <w:left w:val="single" w:sz="6" w:space="0" w:color="A6A6A6" w:themeColor="background1" w:themeShade="A6"/>
              <w:bottom w:val="single" w:sz="2" w:space="0" w:color="A6A6A6" w:themeColor="background1" w:themeShade="A6"/>
              <w:right w:val="single" w:sz="6"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6" w:space="0" w:color="A6A6A6" w:themeColor="background1" w:themeShade="A6"/>
              <w:left w:val="single" w:sz="6" w:space="0" w:color="A6A6A6" w:themeColor="background1" w:themeShade="A6"/>
              <w:bottom w:val="single" w:sz="2" w:space="0" w:color="A6A6A6" w:themeColor="background1" w:themeShade="A6"/>
              <w:right w:val="nil"/>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473"/>
        </w:trPr>
        <w:tc>
          <w:tcPr>
            <w:tcW w:w="6663" w:type="dxa"/>
            <w:vMerge w:val="restart"/>
            <w:shd w:val="clear" w:color="auto" w:fill="D9E2F3" w:themeFill="accent5" w:themeFillTint="33"/>
          </w:tcPr>
          <w:p w:rsidR="00690D5F" w:rsidRPr="00AA1549" w:rsidRDefault="00690D5F" w:rsidP="00690D5F">
            <w:pPr>
              <w:pStyle w:val="Prrafodelista"/>
              <w:numPr>
                <w:ilvl w:val="0"/>
                <w:numId w:val="2"/>
              </w:numPr>
              <w:spacing w:after="0" w:line="240" w:lineRule="auto"/>
              <w:ind w:left="121" w:hanging="121"/>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Valorar el peso de las actividades económicas por sectores, en el territorio español y andaluz.</w:t>
            </w:r>
          </w:p>
        </w:tc>
        <w:tc>
          <w:tcPr>
            <w:tcW w:w="7131" w:type="dxa"/>
            <w:tcBorders>
              <w:right w:val="single" w:sz="2" w:space="0" w:color="A6A6A6" w:themeColor="background1" w:themeShade="A6"/>
            </w:tcBorders>
            <w:shd w:val="clear" w:color="auto" w:fill="D9E2F3" w:themeFill="accent5"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Localiza en un mapa los paisajes agrarios nacionales y explica sus características definitorias.</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165"/>
        </w:trPr>
        <w:tc>
          <w:tcPr>
            <w:tcW w:w="6663" w:type="dxa"/>
            <w:vMerge/>
            <w:shd w:val="clear" w:color="auto" w:fill="D9E2F3" w:themeFill="accent5" w:themeFillTint="33"/>
          </w:tcPr>
          <w:p w:rsidR="00690D5F" w:rsidRPr="00AA1549" w:rsidRDefault="00690D5F" w:rsidP="00690D5F">
            <w:pPr>
              <w:pStyle w:val="Prrafodelista"/>
              <w:numPr>
                <w:ilvl w:val="0"/>
                <w:numId w:val="2"/>
              </w:numPr>
              <w:spacing w:after="0" w:line="240" w:lineRule="auto"/>
              <w:ind w:left="238" w:hanging="238"/>
              <w:jc w:val="both"/>
              <w:rPr>
                <w:rFonts w:ascii="Times New Roman" w:hAnsi="Times New Roman" w:cs="Times New Roman"/>
                <w:color w:val="333333"/>
                <w:sz w:val="24"/>
                <w:szCs w:val="24"/>
              </w:rPr>
            </w:pPr>
          </w:p>
        </w:tc>
        <w:tc>
          <w:tcPr>
            <w:tcW w:w="7131" w:type="dxa"/>
            <w:tcBorders>
              <w:right w:val="single" w:sz="2" w:space="0" w:color="A6A6A6" w:themeColor="background1" w:themeShade="A6"/>
            </w:tcBorders>
            <w:shd w:val="clear" w:color="auto" w:fill="D9E2F3" w:themeFill="accent5"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Pr>
                <w:rFonts w:ascii="Times New Roman" w:hAnsi="Times New Roman" w:cs="Times New Roman"/>
                <w:color w:val="333333"/>
                <w:sz w:val="24"/>
                <w:szCs w:val="24"/>
              </w:rPr>
              <w:t>Lo</w:t>
            </w:r>
            <w:r w:rsidRPr="00AA1549">
              <w:rPr>
                <w:rFonts w:ascii="Times New Roman" w:hAnsi="Times New Roman" w:cs="Times New Roman"/>
                <w:color w:val="333333"/>
                <w:sz w:val="24"/>
                <w:szCs w:val="24"/>
              </w:rPr>
              <w:t>caliza los recursos agrarios y naturales andaluces, especialmente los hídricos.</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165"/>
        </w:trPr>
        <w:tc>
          <w:tcPr>
            <w:tcW w:w="6663" w:type="dxa"/>
            <w:vMerge/>
            <w:shd w:val="clear" w:color="auto" w:fill="D9E2F3" w:themeFill="accent5" w:themeFillTint="33"/>
          </w:tcPr>
          <w:p w:rsidR="00690D5F" w:rsidRPr="00AA1549" w:rsidRDefault="00690D5F" w:rsidP="00690D5F">
            <w:pPr>
              <w:pStyle w:val="Prrafodelista"/>
              <w:numPr>
                <w:ilvl w:val="0"/>
                <w:numId w:val="2"/>
              </w:numPr>
              <w:spacing w:after="0" w:line="240" w:lineRule="auto"/>
              <w:ind w:left="238" w:hanging="238"/>
              <w:jc w:val="both"/>
              <w:rPr>
                <w:rFonts w:ascii="Times New Roman" w:hAnsi="Times New Roman" w:cs="Times New Roman"/>
                <w:color w:val="333333"/>
                <w:sz w:val="24"/>
                <w:szCs w:val="24"/>
              </w:rPr>
            </w:pPr>
          </w:p>
        </w:tc>
        <w:tc>
          <w:tcPr>
            <w:tcW w:w="7131" w:type="dxa"/>
            <w:tcBorders>
              <w:right w:val="single" w:sz="2" w:space="0" w:color="A6A6A6" w:themeColor="background1" w:themeShade="A6"/>
            </w:tcBorders>
            <w:shd w:val="clear" w:color="auto" w:fill="D9E2F3" w:themeFill="accent5"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Identifica y localiza las regiones industriales a nivel nacional, explicando sus particularidades y relacionándolas con la red de transportes</w:t>
            </w:r>
            <w:r>
              <w:rPr>
                <w:rFonts w:ascii="Times New Roman" w:hAnsi="Times New Roman" w:cs="Times New Roman"/>
                <w:color w:val="333333"/>
                <w:sz w:val="24"/>
                <w:szCs w:val="24"/>
              </w:rPr>
              <w:t>.</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165"/>
        </w:trPr>
        <w:tc>
          <w:tcPr>
            <w:tcW w:w="6663" w:type="dxa"/>
            <w:vMerge/>
            <w:shd w:val="clear" w:color="auto" w:fill="D9E2F3" w:themeFill="accent5" w:themeFillTint="33"/>
          </w:tcPr>
          <w:p w:rsidR="00690D5F" w:rsidRPr="00AA1549" w:rsidRDefault="00690D5F" w:rsidP="00690D5F">
            <w:pPr>
              <w:pStyle w:val="Prrafodelista"/>
              <w:numPr>
                <w:ilvl w:val="0"/>
                <w:numId w:val="2"/>
              </w:numPr>
              <w:spacing w:after="0" w:line="240" w:lineRule="auto"/>
              <w:ind w:left="238" w:hanging="238"/>
              <w:jc w:val="both"/>
              <w:rPr>
                <w:rFonts w:ascii="Times New Roman" w:hAnsi="Times New Roman" w:cs="Times New Roman"/>
                <w:color w:val="333333"/>
                <w:sz w:val="24"/>
                <w:szCs w:val="24"/>
              </w:rPr>
            </w:pPr>
          </w:p>
        </w:tc>
        <w:tc>
          <w:tcPr>
            <w:tcW w:w="7131" w:type="dxa"/>
            <w:tcBorders>
              <w:right w:val="single" w:sz="2" w:space="0" w:color="A6A6A6" w:themeColor="background1" w:themeShade="A6"/>
            </w:tcBorders>
            <w:shd w:val="clear" w:color="auto" w:fill="D9E2F3" w:themeFill="accent5"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Identifica las principales zonas industriales andaluzas y las consecuencias para la estabilidad social y política de dicho hecho.</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0D6E7F" w:rsidRDefault="00690D5F" w:rsidP="0045207A">
            <w:pPr>
              <w:spacing w:after="0" w:line="240" w:lineRule="auto"/>
              <w:contextualSpacing/>
              <w:jc w:val="both"/>
              <w:rPr>
                <w:rFonts w:ascii="Times New Roman" w:hAnsi="Times New Roman" w:cs="Times New Roman"/>
                <w:color w:val="F7CAAC" w:themeColor="accent2" w:themeTint="66"/>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165"/>
        </w:trPr>
        <w:tc>
          <w:tcPr>
            <w:tcW w:w="6663" w:type="dxa"/>
            <w:vMerge/>
            <w:shd w:val="clear" w:color="auto" w:fill="D9E2F3" w:themeFill="accent5" w:themeFillTint="33"/>
          </w:tcPr>
          <w:p w:rsidR="00690D5F" w:rsidRPr="00AA1549" w:rsidRDefault="00690D5F" w:rsidP="00690D5F">
            <w:pPr>
              <w:pStyle w:val="Prrafodelista"/>
              <w:numPr>
                <w:ilvl w:val="0"/>
                <w:numId w:val="2"/>
              </w:numPr>
              <w:spacing w:after="0" w:line="240" w:lineRule="auto"/>
              <w:ind w:left="238" w:hanging="238"/>
              <w:jc w:val="both"/>
              <w:rPr>
                <w:rFonts w:ascii="Times New Roman" w:hAnsi="Times New Roman" w:cs="Times New Roman"/>
                <w:color w:val="333333"/>
                <w:sz w:val="24"/>
                <w:szCs w:val="24"/>
              </w:rPr>
            </w:pPr>
          </w:p>
        </w:tc>
        <w:tc>
          <w:tcPr>
            <w:tcW w:w="7131" w:type="dxa"/>
            <w:tcBorders>
              <w:right w:val="single" w:sz="2" w:space="0" w:color="A6A6A6" w:themeColor="background1" w:themeShade="A6"/>
            </w:tcBorders>
            <w:shd w:val="clear" w:color="auto" w:fill="D9E2F3" w:themeFill="accent5"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Valora el peso de las actividades terciarias en España y Andalucía, especialmente en el caso del sector turístico.</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165"/>
        </w:trPr>
        <w:tc>
          <w:tcPr>
            <w:tcW w:w="6663" w:type="dxa"/>
            <w:vMerge/>
            <w:tcBorders>
              <w:bottom w:val="single" w:sz="12" w:space="0" w:color="FFFFFF" w:themeColor="background1"/>
            </w:tcBorders>
            <w:shd w:val="clear" w:color="auto" w:fill="D9E2F3" w:themeFill="accent5" w:themeFillTint="33"/>
          </w:tcPr>
          <w:p w:rsidR="00690D5F" w:rsidRPr="00AA1549" w:rsidRDefault="00690D5F" w:rsidP="00690D5F">
            <w:pPr>
              <w:pStyle w:val="Prrafodelista"/>
              <w:numPr>
                <w:ilvl w:val="0"/>
                <w:numId w:val="2"/>
              </w:numPr>
              <w:spacing w:after="0" w:line="240" w:lineRule="auto"/>
              <w:ind w:left="238" w:hanging="238"/>
              <w:jc w:val="both"/>
              <w:rPr>
                <w:rFonts w:ascii="Times New Roman" w:hAnsi="Times New Roman" w:cs="Times New Roman"/>
                <w:color w:val="333333"/>
                <w:sz w:val="24"/>
                <w:szCs w:val="24"/>
              </w:rPr>
            </w:pPr>
          </w:p>
        </w:tc>
        <w:tc>
          <w:tcPr>
            <w:tcW w:w="7131" w:type="dxa"/>
            <w:tcBorders>
              <w:bottom w:val="single" w:sz="12" w:space="0" w:color="FFFFFF" w:themeColor="background1"/>
              <w:right w:val="single" w:sz="2" w:space="0" w:color="A6A6A6" w:themeColor="background1" w:themeShade="A6"/>
            </w:tcBorders>
            <w:shd w:val="clear" w:color="auto" w:fill="D9E2F3" w:themeFill="accent5"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Pr>
                <w:rFonts w:ascii="Times New Roman" w:hAnsi="Times New Roman" w:cs="Times New Roman"/>
                <w:color w:val="333333"/>
                <w:sz w:val="24"/>
                <w:szCs w:val="24"/>
              </w:rPr>
              <w:t>Reconoce</w:t>
            </w:r>
            <w:r w:rsidRPr="00AA1549">
              <w:rPr>
                <w:rFonts w:ascii="Times New Roman" w:hAnsi="Times New Roman" w:cs="Times New Roman"/>
                <w:color w:val="333333"/>
                <w:sz w:val="24"/>
                <w:szCs w:val="24"/>
              </w:rPr>
              <w:t xml:space="preserve"> los factores de la actual crisis económica y la incidencia en España y Andalucía.</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165"/>
        </w:trPr>
        <w:tc>
          <w:tcPr>
            <w:tcW w:w="6663" w:type="dxa"/>
            <w:shd w:val="clear" w:color="auto" w:fill="EDEDED" w:themeFill="accent3" w:themeFillTint="33"/>
          </w:tcPr>
          <w:p w:rsidR="00690D5F" w:rsidRPr="00AA1549" w:rsidRDefault="00690D5F" w:rsidP="00690D5F">
            <w:pPr>
              <w:pStyle w:val="Prrafodelista"/>
              <w:numPr>
                <w:ilvl w:val="0"/>
                <w:numId w:val="2"/>
              </w:numPr>
              <w:spacing w:after="0" w:line="240" w:lineRule="auto"/>
              <w:ind w:left="121" w:hanging="121"/>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Identificar los principales paisajes humanizados españoles.</w:t>
            </w:r>
          </w:p>
        </w:tc>
        <w:tc>
          <w:tcPr>
            <w:tcW w:w="7131" w:type="dxa"/>
            <w:tcBorders>
              <w:right w:val="single" w:sz="2" w:space="0" w:color="A6A6A6" w:themeColor="background1" w:themeShade="A6"/>
            </w:tcBorders>
            <w:shd w:val="clear" w:color="auto" w:fill="EDEDED" w:themeFill="accent3"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Clasifica los principales paisajes humanizados españoles a través de imágenes.</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495"/>
        </w:trPr>
        <w:tc>
          <w:tcPr>
            <w:tcW w:w="6663" w:type="dxa"/>
            <w:vMerge w:val="restart"/>
            <w:shd w:val="clear" w:color="auto" w:fill="D9E2F3" w:themeFill="accent5" w:themeFillTint="33"/>
          </w:tcPr>
          <w:p w:rsidR="00690D5F" w:rsidRPr="000D6E7F" w:rsidRDefault="00690D5F" w:rsidP="00690D5F">
            <w:pPr>
              <w:pStyle w:val="Prrafodelista"/>
              <w:numPr>
                <w:ilvl w:val="0"/>
                <w:numId w:val="2"/>
              </w:numPr>
              <w:spacing w:after="0" w:line="240" w:lineRule="auto"/>
              <w:ind w:left="121" w:hanging="121"/>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Explicar el sistema de ciudades europeo y el papel de las mismas como centros rectores de la economía, relacionándolo con el desarrollo de la red de transportes continental.</w:t>
            </w:r>
          </w:p>
        </w:tc>
        <w:tc>
          <w:tcPr>
            <w:tcW w:w="7131" w:type="dxa"/>
            <w:tcBorders>
              <w:right w:val="single" w:sz="2" w:space="0" w:color="A6A6A6" w:themeColor="background1" w:themeShade="A6"/>
            </w:tcBorders>
            <w:shd w:val="clear" w:color="auto" w:fill="D9E2F3" w:themeFill="accent5"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Localiza e identifica los diversos sistemas de ciudades europeas y las relaciona con el desarrollo económico e industrial.</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527"/>
        </w:trPr>
        <w:tc>
          <w:tcPr>
            <w:tcW w:w="6663" w:type="dxa"/>
            <w:vMerge/>
            <w:tcBorders>
              <w:bottom w:val="single" w:sz="12" w:space="0" w:color="FFFFFF" w:themeColor="background1"/>
            </w:tcBorders>
            <w:shd w:val="clear" w:color="auto" w:fill="D9E2F3" w:themeFill="accent5" w:themeFillTint="33"/>
          </w:tcPr>
          <w:p w:rsidR="00690D5F" w:rsidRPr="00AA1549" w:rsidRDefault="00690D5F" w:rsidP="00690D5F">
            <w:pPr>
              <w:pStyle w:val="Prrafodelista"/>
              <w:numPr>
                <w:ilvl w:val="0"/>
                <w:numId w:val="2"/>
              </w:numPr>
              <w:spacing w:after="0" w:line="240" w:lineRule="auto"/>
              <w:ind w:left="238" w:hanging="238"/>
              <w:jc w:val="both"/>
              <w:rPr>
                <w:rFonts w:ascii="Times New Roman" w:hAnsi="Times New Roman" w:cs="Times New Roman"/>
                <w:color w:val="333333"/>
                <w:sz w:val="24"/>
                <w:szCs w:val="24"/>
              </w:rPr>
            </w:pPr>
          </w:p>
        </w:tc>
        <w:tc>
          <w:tcPr>
            <w:tcW w:w="7131" w:type="dxa"/>
            <w:tcBorders>
              <w:bottom w:val="single" w:sz="12" w:space="0" w:color="FFFFFF" w:themeColor="background1"/>
              <w:right w:val="single" w:sz="2" w:space="0" w:color="A6A6A6" w:themeColor="background1" w:themeShade="A6"/>
            </w:tcBorders>
            <w:shd w:val="clear" w:color="auto" w:fill="D9E2F3" w:themeFill="accent5"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Relaciona la red de ciudades europeas con el desarrollo de una red de transportes y su integración en el espacio europeo.</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507"/>
        </w:trPr>
        <w:tc>
          <w:tcPr>
            <w:tcW w:w="6663" w:type="dxa"/>
            <w:vMerge w:val="restart"/>
            <w:shd w:val="clear" w:color="auto" w:fill="EDEDED" w:themeFill="accent3" w:themeFillTint="33"/>
          </w:tcPr>
          <w:p w:rsidR="00690D5F" w:rsidRPr="000D6E7F" w:rsidRDefault="00690D5F" w:rsidP="00690D5F">
            <w:pPr>
              <w:pStyle w:val="Prrafodelista"/>
              <w:numPr>
                <w:ilvl w:val="0"/>
                <w:numId w:val="2"/>
              </w:numPr>
              <w:spacing w:after="0" w:line="240" w:lineRule="auto"/>
              <w:ind w:left="121" w:hanging="121"/>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Reconocer las características de las ciudades españolas y andaluzas, junto con las formas de ocupación del espacio urbano.</w:t>
            </w:r>
          </w:p>
        </w:tc>
        <w:tc>
          <w:tcPr>
            <w:tcW w:w="7131" w:type="dxa"/>
            <w:tcBorders>
              <w:bottom w:val="single" w:sz="12" w:space="0" w:color="FFFFFF" w:themeColor="background1"/>
              <w:right w:val="single" w:sz="2" w:space="0" w:color="A6A6A6" w:themeColor="background1" w:themeShade="A6"/>
            </w:tcBorders>
            <w:shd w:val="clear" w:color="auto" w:fill="EDEDED" w:themeFill="accent3"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Identifica los sistemas de ciudades español y andaluz, para relacionarlo con el desarrollo económico en las distintas regiones.</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165"/>
        </w:trPr>
        <w:tc>
          <w:tcPr>
            <w:tcW w:w="6663" w:type="dxa"/>
            <w:vMerge/>
            <w:shd w:val="clear" w:color="auto" w:fill="EDEDED" w:themeFill="accent3" w:themeFillTint="33"/>
          </w:tcPr>
          <w:p w:rsidR="00690D5F" w:rsidRPr="00AA1549" w:rsidRDefault="00690D5F" w:rsidP="00690D5F">
            <w:pPr>
              <w:pStyle w:val="Prrafodelista"/>
              <w:numPr>
                <w:ilvl w:val="0"/>
                <w:numId w:val="2"/>
              </w:numPr>
              <w:spacing w:after="0" w:line="240" w:lineRule="auto"/>
              <w:ind w:left="238" w:hanging="238"/>
              <w:jc w:val="both"/>
              <w:rPr>
                <w:rFonts w:ascii="Times New Roman" w:hAnsi="Times New Roman" w:cs="Times New Roman"/>
                <w:color w:val="333333"/>
                <w:sz w:val="24"/>
                <w:szCs w:val="24"/>
              </w:rPr>
            </w:pPr>
          </w:p>
        </w:tc>
        <w:tc>
          <w:tcPr>
            <w:tcW w:w="7131" w:type="dxa"/>
            <w:tcBorders>
              <w:right w:val="single" w:sz="2" w:space="0" w:color="A6A6A6" w:themeColor="background1" w:themeShade="A6"/>
            </w:tcBorders>
            <w:shd w:val="clear" w:color="auto" w:fill="EDEDED" w:themeFill="accent3"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Relaciona la red de ciudades española y andaluza con la red de transportes nacional y regional.</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165"/>
        </w:trPr>
        <w:tc>
          <w:tcPr>
            <w:tcW w:w="6663" w:type="dxa"/>
            <w:tcBorders>
              <w:bottom w:val="single" w:sz="12" w:space="0" w:color="FFFFFF" w:themeColor="background1"/>
            </w:tcBorders>
            <w:shd w:val="clear" w:color="auto" w:fill="D9E2F3" w:themeFill="accent5" w:themeFillTint="33"/>
          </w:tcPr>
          <w:p w:rsidR="00690D5F" w:rsidRPr="00AA1549" w:rsidRDefault="00690D5F" w:rsidP="00690D5F">
            <w:pPr>
              <w:pStyle w:val="Prrafodelista"/>
              <w:numPr>
                <w:ilvl w:val="0"/>
                <w:numId w:val="2"/>
              </w:numPr>
              <w:spacing w:after="0" w:line="240" w:lineRule="auto"/>
              <w:ind w:left="121" w:hanging="121"/>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Conocer y analizar los problemas y retos medioambientales que afronta el planeta e identificarlos en España y An</w:t>
            </w:r>
            <w:r>
              <w:rPr>
                <w:rFonts w:ascii="Times New Roman" w:hAnsi="Times New Roman" w:cs="Times New Roman"/>
                <w:color w:val="333333"/>
                <w:sz w:val="24"/>
                <w:szCs w:val="24"/>
              </w:rPr>
              <w:t>dalucía</w:t>
            </w:r>
            <w:r w:rsidRPr="00AA1549">
              <w:rPr>
                <w:rFonts w:ascii="Times New Roman" w:hAnsi="Times New Roman" w:cs="Times New Roman"/>
                <w:color w:val="333333"/>
                <w:sz w:val="24"/>
                <w:szCs w:val="24"/>
              </w:rPr>
              <w:t xml:space="preserve">, proponiendo diferentes vías para afrontarlos. </w:t>
            </w:r>
          </w:p>
        </w:tc>
        <w:tc>
          <w:tcPr>
            <w:tcW w:w="7131" w:type="dxa"/>
            <w:tcBorders>
              <w:bottom w:val="single" w:sz="12" w:space="0" w:color="FFFFFF" w:themeColor="background1"/>
              <w:right w:val="single" w:sz="2" w:space="0" w:color="A6A6A6" w:themeColor="background1" w:themeShade="A6"/>
            </w:tcBorders>
            <w:shd w:val="clear" w:color="auto" w:fill="D9E2F3" w:themeFill="accent5"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Explica el impacto ambiental de cada uno de los sectores de actividad económica.</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165"/>
        </w:trPr>
        <w:tc>
          <w:tcPr>
            <w:tcW w:w="6663" w:type="dxa"/>
            <w:vMerge w:val="restart"/>
            <w:shd w:val="clear" w:color="auto" w:fill="EDEDED" w:themeFill="accent3" w:themeFillTint="33"/>
          </w:tcPr>
          <w:p w:rsidR="00690D5F" w:rsidRPr="00AA1549" w:rsidRDefault="00690D5F" w:rsidP="00690D5F">
            <w:pPr>
              <w:pStyle w:val="Prrafodelista"/>
              <w:numPr>
                <w:ilvl w:val="0"/>
                <w:numId w:val="2"/>
              </w:numPr>
              <w:spacing w:after="0" w:line="240" w:lineRule="auto"/>
              <w:ind w:left="121" w:hanging="12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Conocer los </w:t>
            </w:r>
            <w:r w:rsidRPr="00AA1549">
              <w:rPr>
                <w:rFonts w:ascii="Times New Roman" w:hAnsi="Times New Roman" w:cs="Times New Roman"/>
                <w:color w:val="333333"/>
                <w:sz w:val="24"/>
                <w:szCs w:val="24"/>
              </w:rPr>
              <w:t>espacios naturales protegidos a nivel peninsular e insular, así como andaluz.</w:t>
            </w:r>
          </w:p>
        </w:tc>
        <w:tc>
          <w:tcPr>
            <w:tcW w:w="7131" w:type="dxa"/>
            <w:tcBorders>
              <w:bottom w:val="single" w:sz="12" w:space="0" w:color="FFFFFF" w:themeColor="background1"/>
              <w:right w:val="single" w:sz="2" w:space="0" w:color="A6A6A6" w:themeColor="background1" w:themeShade="A6"/>
            </w:tcBorders>
            <w:shd w:val="clear" w:color="auto" w:fill="EDEDED" w:themeFill="accent3"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Localiza los principales parques nacionales españoles y andaluces.</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165"/>
        </w:trPr>
        <w:tc>
          <w:tcPr>
            <w:tcW w:w="6663" w:type="dxa"/>
            <w:vMerge/>
            <w:shd w:val="clear" w:color="auto" w:fill="EDEDED" w:themeFill="accent3" w:themeFillTint="33"/>
          </w:tcPr>
          <w:p w:rsidR="00690D5F" w:rsidRPr="00AA1549" w:rsidRDefault="00690D5F" w:rsidP="00690D5F">
            <w:pPr>
              <w:pStyle w:val="Prrafodelista"/>
              <w:numPr>
                <w:ilvl w:val="0"/>
                <w:numId w:val="2"/>
              </w:numPr>
              <w:spacing w:after="0" w:line="240" w:lineRule="auto"/>
              <w:ind w:left="238" w:hanging="238"/>
              <w:jc w:val="both"/>
              <w:rPr>
                <w:rFonts w:ascii="Times New Roman" w:hAnsi="Times New Roman" w:cs="Times New Roman"/>
                <w:color w:val="333333"/>
                <w:sz w:val="24"/>
                <w:szCs w:val="24"/>
              </w:rPr>
            </w:pPr>
          </w:p>
        </w:tc>
        <w:tc>
          <w:tcPr>
            <w:tcW w:w="7131" w:type="dxa"/>
            <w:tcBorders>
              <w:right w:val="single" w:sz="2" w:space="0" w:color="A6A6A6" w:themeColor="background1" w:themeShade="A6"/>
            </w:tcBorders>
            <w:shd w:val="clear" w:color="auto" w:fill="EDEDED" w:themeFill="accent3"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Identi</w:t>
            </w:r>
            <w:r>
              <w:rPr>
                <w:rFonts w:ascii="Times New Roman" w:hAnsi="Times New Roman" w:cs="Times New Roman"/>
                <w:color w:val="333333"/>
                <w:sz w:val="24"/>
                <w:szCs w:val="24"/>
              </w:rPr>
              <w:t xml:space="preserve">fica y diferencia las </w:t>
            </w:r>
            <w:r w:rsidRPr="00AA1549">
              <w:rPr>
                <w:rFonts w:ascii="Times New Roman" w:hAnsi="Times New Roman" w:cs="Times New Roman"/>
                <w:color w:val="333333"/>
                <w:sz w:val="24"/>
                <w:szCs w:val="24"/>
              </w:rPr>
              <w:t>categorías de protecció</w:t>
            </w:r>
            <w:r>
              <w:rPr>
                <w:rFonts w:ascii="Times New Roman" w:hAnsi="Times New Roman" w:cs="Times New Roman"/>
                <w:color w:val="333333"/>
                <w:sz w:val="24"/>
                <w:szCs w:val="24"/>
              </w:rPr>
              <w:t xml:space="preserve">n medioambiental en España, reconociendo </w:t>
            </w:r>
            <w:r w:rsidRPr="00AA1549">
              <w:rPr>
                <w:rFonts w:ascii="Times New Roman" w:hAnsi="Times New Roman" w:cs="Times New Roman"/>
                <w:color w:val="333333"/>
                <w:sz w:val="24"/>
                <w:szCs w:val="24"/>
              </w:rPr>
              <w:t>espacios andaluces que cuentan con ellas.</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404"/>
        </w:trPr>
        <w:tc>
          <w:tcPr>
            <w:tcW w:w="6663" w:type="dxa"/>
            <w:tcBorders>
              <w:bottom w:val="single" w:sz="12" w:space="0" w:color="FFFFFF" w:themeColor="background1"/>
            </w:tcBorders>
            <w:shd w:val="clear" w:color="auto" w:fill="D9E2F3" w:themeFill="accent5" w:themeFillTint="33"/>
          </w:tcPr>
          <w:p w:rsidR="00690D5F" w:rsidRPr="00AA1549" w:rsidRDefault="00690D5F" w:rsidP="00690D5F">
            <w:pPr>
              <w:pStyle w:val="Prrafodelista"/>
              <w:numPr>
                <w:ilvl w:val="0"/>
                <w:numId w:val="2"/>
              </w:numPr>
              <w:spacing w:after="0" w:line="240" w:lineRule="auto"/>
              <w:ind w:left="121" w:hanging="121"/>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 xml:space="preserve">Identificar los </w:t>
            </w:r>
            <w:r w:rsidRPr="00AA1549">
              <w:rPr>
                <w:rFonts w:ascii="Times New Roman" w:hAnsi="Times New Roman" w:cs="Times New Roman"/>
                <w:color w:val="333333"/>
                <w:sz w:val="24"/>
                <w:szCs w:val="24"/>
              </w:rPr>
              <w:t>paisajes humanizados españoles y especificar los rasgos particulares andaluces.</w:t>
            </w:r>
          </w:p>
        </w:tc>
        <w:tc>
          <w:tcPr>
            <w:tcW w:w="7131" w:type="dxa"/>
            <w:tcBorders>
              <w:bottom w:val="single" w:sz="12" w:space="0" w:color="FFFFFF" w:themeColor="background1"/>
              <w:right w:val="single" w:sz="2" w:space="0" w:color="A6A6A6" w:themeColor="background1" w:themeShade="A6"/>
            </w:tcBorders>
            <w:shd w:val="clear" w:color="auto" w:fill="D9E2F3" w:themeFill="accent5"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Reconoce los </w:t>
            </w:r>
            <w:r w:rsidRPr="00AA1549">
              <w:rPr>
                <w:rFonts w:ascii="Times New Roman" w:hAnsi="Times New Roman" w:cs="Times New Roman"/>
                <w:color w:val="333333"/>
                <w:sz w:val="24"/>
                <w:szCs w:val="24"/>
              </w:rPr>
              <w:t xml:space="preserve">espacios humanizados españoles </w:t>
            </w:r>
            <w:r>
              <w:rPr>
                <w:rFonts w:ascii="Times New Roman" w:hAnsi="Times New Roman" w:cs="Times New Roman"/>
                <w:color w:val="333333"/>
                <w:sz w:val="24"/>
                <w:szCs w:val="24"/>
              </w:rPr>
              <w:t xml:space="preserve">y andaluces </w:t>
            </w:r>
            <w:r w:rsidRPr="00AA1549">
              <w:rPr>
                <w:rFonts w:ascii="Times New Roman" w:hAnsi="Times New Roman" w:cs="Times New Roman"/>
                <w:color w:val="333333"/>
                <w:sz w:val="24"/>
                <w:szCs w:val="24"/>
              </w:rPr>
              <w:t>a p</w:t>
            </w:r>
            <w:r>
              <w:rPr>
                <w:rFonts w:ascii="Times New Roman" w:hAnsi="Times New Roman" w:cs="Times New Roman"/>
                <w:color w:val="333333"/>
                <w:sz w:val="24"/>
                <w:szCs w:val="24"/>
              </w:rPr>
              <w:t>artir de imágenes de los mismos, sabiendo localizarlos por regiones.</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1762"/>
        </w:trPr>
        <w:tc>
          <w:tcPr>
            <w:tcW w:w="6663" w:type="dxa"/>
            <w:shd w:val="clear" w:color="auto" w:fill="EDEDED" w:themeFill="accent3" w:themeFillTint="33"/>
          </w:tcPr>
          <w:p w:rsidR="00690D5F" w:rsidRPr="00AA1549" w:rsidRDefault="00690D5F" w:rsidP="00690D5F">
            <w:pPr>
              <w:pStyle w:val="Prrafodelista"/>
              <w:numPr>
                <w:ilvl w:val="0"/>
                <w:numId w:val="2"/>
              </w:numPr>
              <w:spacing w:after="0" w:line="240" w:lineRule="auto"/>
              <w:ind w:left="121" w:hanging="121"/>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 xml:space="preserve">Describir los principales rasgos de los regímenes políticos </w:t>
            </w:r>
            <w:r>
              <w:rPr>
                <w:rFonts w:ascii="Times New Roman" w:hAnsi="Times New Roman" w:cs="Times New Roman"/>
                <w:color w:val="333333"/>
                <w:sz w:val="24"/>
                <w:szCs w:val="24"/>
              </w:rPr>
              <w:t>más importantes, contrastando</w:t>
            </w:r>
            <w:r w:rsidRPr="00AA1549">
              <w:rPr>
                <w:rFonts w:ascii="Times New Roman" w:hAnsi="Times New Roman" w:cs="Times New Roman"/>
                <w:color w:val="333333"/>
                <w:sz w:val="24"/>
                <w:szCs w:val="24"/>
              </w:rPr>
              <w:t xml:space="preserve"> principios e instituciones de las formas de gobierno democráticas y dictatoriales</w:t>
            </w:r>
            <w:r>
              <w:rPr>
                <w:rFonts w:ascii="Times New Roman" w:hAnsi="Times New Roman" w:cs="Times New Roman"/>
                <w:color w:val="333333"/>
                <w:sz w:val="24"/>
                <w:szCs w:val="24"/>
              </w:rPr>
              <w:t>,</w:t>
            </w:r>
            <w:r w:rsidRPr="00AA1549">
              <w:rPr>
                <w:rFonts w:ascii="Times New Roman" w:hAnsi="Times New Roman" w:cs="Times New Roman"/>
                <w:color w:val="333333"/>
                <w:sz w:val="24"/>
                <w:szCs w:val="24"/>
              </w:rPr>
              <w:t xml:space="preserve"> y comparando el funcionamiento de los principales sistemas electorales, analizando sus aspectos positivos y negativos.</w:t>
            </w:r>
          </w:p>
        </w:tc>
        <w:tc>
          <w:tcPr>
            <w:tcW w:w="7131" w:type="dxa"/>
            <w:tcBorders>
              <w:right w:val="single" w:sz="2" w:space="0" w:color="A6A6A6" w:themeColor="background1" w:themeShade="A6"/>
            </w:tcBorders>
            <w:shd w:val="clear" w:color="auto" w:fill="EDEDED" w:themeFill="accent3"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Realiza cuadros comparativos de los principales regímenes políticos a nivel mundial, sacando conclusiones sobre los aspectos positivos y negativos de cada uno de ellos.</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1068"/>
        </w:trPr>
        <w:tc>
          <w:tcPr>
            <w:tcW w:w="6663" w:type="dxa"/>
            <w:tcBorders>
              <w:bottom w:val="single" w:sz="12" w:space="0" w:color="FFFFFF" w:themeColor="background1"/>
            </w:tcBorders>
            <w:shd w:val="clear" w:color="auto" w:fill="D9E2F3" w:themeFill="accent5" w:themeFillTint="33"/>
          </w:tcPr>
          <w:p w:rsidR="00690D5F" w:rsidRPr="00AA1549" w:rsidRDefault="00690D5F" w:rsidP="00690D5F">
            <w:pPr>
              <w:pStyle w:val="Prrafodelista"/>
              <w:numPr>
                <w:ilvl w:val="0"/>
                <w:numId w:val="2"/>
              </w:numPr>
              <w:spacing w:after="0" w:line="240" w:lineRule="auto"/>
              <w:ind w:left="121" w:hanging="121"/>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Conocer la organización territorial de Europa,  España y Andalucía, analizando el funcionamiento de sus principales instituciones y formas de gobierno.</w:t>
            </w:r>
          </w:p>
        </w:tc>
        <w:tc>
          <w:tcPr>
            <w:tcW w:w="7131" w:type="dxa"/>
            <w:tcBorders>
              <w:bottom w:val="single" w:sz="12" w:space="0" w:color="FFFFFF" w:themeColor="background1"/>
              <w:right w:val="single" w:sz="2" w:space="0" w:color="A6A6A6" w:themeColor="background1" w:themeShade="A6"/>
            </w:tcBorders>
            <w:shd w:val="clear" w:color="auto" w:fill="D9E2F3" w:themeFill="accent5"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Distingue en un mapa político la distribución territorial de España: comunidades, provincias, capitales e islas.</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456"/>
        </w:trPr>
        <w:tc>
          <w:tcPr>
            <w:tcW w:w="6663" w:type="dxa"/>
            <w:vMerge w:val="restart"/>
            <w:shd w:val="clear" w:color="auto" w:fill="EDEDED" w:themeFill="accent3" w:themeFillTint="33"/>
          </w:tcPr>
          <w:p w:rsidR="00690D5F" w:rsidRPr="00AA1549" w:rsidRDefault="00690D5F" w:rsidP="00690D5F">
            <w:pPr>
              <w:pStyle w:val="Prrafodelista"/>
              <w:numPr>
                <w:ilvl w:val="0"/>
                <w:numId w:val="2"/>
              </w:numPr>
              <w:spacing w:after="0" w:line="240" w:lineRule="auto"/>
              <w:ind w:left="121" w:hanging="121"/>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Comentar la información en mapas del mundo sobre la densidad de población y las migraciones.</w:t>
            </w:r>
          </w:p>
        </w:tc>
        <w:tc>
          <w:tcPr>
            <w:tcW w:w="7131" w:type="dxa"/>
            <w:tcBorders>
              <w:bottom w:val="single" w:sz="12" w:space="0" w:color="FFFFFF" w:themeColor="background1"/>
              <w:right w:val="single" w:sz="2" w:space="0" w:color="A6A6A6" w:themeColor="background1" w:themeShade="A6"/>
            </w:tcBorders>
            <w:shd w:val="clear" w:color="auto" w:fill="EDEDED" w:themeFill="accent3"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Pr>
                <w:rFonts w:ascii="Times New Roman" w:hAnsi="Times New Roman" w:cs="Times New Roman"/>
                <w:color w:val="333333"/>
                <w:sz w:val="24"/>
                <w:szCs w:val="24"/>
              </w:rPr>
              <w:t>Localiza en un mapa</w:t>
            </w:r>
            <w:r w:rsidRPr="00AA1549">
              <w:rPr>
                <w:rFonts w:ascii="Times New Roman" w:hAnsi="Times New Roman" w:cs="Times New Roman"/>
                <w:color w:val="333333"/>
                <w:sz w:val="24"/>
                <w:szCs w:val="24"/>
              </w:rPr>
              <w:t xml:space="preserve"> las áreas de mayo</w:t>
            </w:r>
            <w:r>
              <w:rPr>
                <w:rFonts w:ascii="Times New Roman" w:hAnsi="Times New Roman" w:cs="Times New Roman"/>
                <w:color w:val="333333"/>
                <w:sz w:val="24"/>
                <w:szCs w:val="24"/>
              </w:rPr>
              <w:t>r y menor densidad de población en el planeta.</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355"/>
        </w:trPr>
        <w:tc>
          <w:tcPr>
            <w:tcW w:w="6663" w:type="dxa"/>
            <w:vMerge/>
            <w:shd w:val="clear" w:color="auto" w:fill="EDEDED" w:themeFill="accent3" w:themeFillTint="33"/>
          </w:tcPr>
          <w:p w:rsidR="00690D5F" w:rsidRPr="00AA1549" w:rsidRDefault="00690D5F" w:rsidP="00690D5F">
            <w:pPr>
              <w:pStyle w:val="Prrafodelista"/>
              <w:numPr>
                <w:ilvl w:val="0"/>
                <w:numId w:val="2"/>
              </w:numPr>
              <w:spacing w:after="0" w:line="240" w:lineRule="auto"/>
              <w:ind w:left="238" w:hanging="238"/>
              <w:jc w:val="both"/>
              <w:rPr>
                <w:rFonts w:ascii="Times New Roman" w:hAnsi="Times New Roman" w:cs="Times New Roman"/>
                <w:color w:val="333333"/>
                <w:sz w:val="24"/>
                <w:szCs w:val="24"/>
              </w:rPr>
            </w:pPr>
          </w:p>
        </w:tc>
        <w:tc>
          <w:tcPr>
            <w:tcW w:w="7131" w:type="dxa"/>
            <w:tcBorders>
              <w:right w:val="single" w:sz="2" w:space="0" w:color="A6A6A6" w:themeColor="background1" w:themeShade="A6"/>
            </w:tcBorders>
            <w:shd w:val="clear" w:color="auto" w:fill="EDEDED" w:themeFill="accent3"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Explica el impacto de las migraciones en los países de origen y en los de acogida.</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828"/>
        </w:trPr>
        <w:tc>
          <w:tcPr>
            <w:tcW w:w="6663" w:type="dxa"/>
            <w:tcBorders>
              <w:bottom w:val="single" w:sz="12" w:space="0" w:color="FFFFFF" w:themeColor="background1"/>
            </w:tcBorders>
            <w:shd w:val="clear" w:color="auto" w:fill="D9E2F3" w:themeFill="accent5" w:themeFillTint="33"/>
          </w:tcPr>
          <w:p w:rsidR="00690D5F" w:rsidRPr="00AA1549" w:rsidRDefault="00690D5F" w:rsidP="00690D5F">
            <w:pPr>
              <w:pStyle w:val="Prrafodelista"/>
              <w:numPr>
                <w:ilvl w:val="0"/>
                <w:numId w:val="2"/>
              </w:numPr>
              <w:spacing w:after="0" w:line="240" w:lineRule="auto"/>
              <w:ind w:left="121" w:hanging="121"/>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Analizar la población europea en cuanto a distribución, dinámica natural, migraciones y políticas de población.</w:t>
            </w:r>
          </w:p>
        </w:tc>
        <w:tc>
          <w:tcPr>
            <w:tcW w:w="7131" w:type="dxa"/>
            <w:tcBorders>
              <w:bottom w:val="single" w:sz="12" w:space="0" w:color="FFFFFF" w:themeColor="background1"/>
              <w:right w:val="single" w:sz="2" w:space="0" w:color="A6A6A6" w:themeColor="background1" w:themeShade="A6"/>
            </w:tcBorders>
            <w:shd w:val="clear" w:color="auto" w:fill="D9E2F3" w:themeFill="accent5"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Explica las características de la población europea en función de su distribución, dinámica natural, movimientos migratorios y políticas poblacionales.</w:t>
            </w:r>
          </w:p>
        </w:tc>
        <w:tc>
          <w:tcPr>
            <w:tcW w:w="283" w:type="dxa"/>
            <w:tcBorders>
              <w:top w:val="single" w:sz="2" w:space="0" w:color="A6A6A6" w:themeColor="background1" w:themeShade="A6"/>
              <w:left w:val="single" w:sz="2" w:space="0" w:color="A6A6A6" w:themeColor="background1" w:themeShade="A6"/>
              <w:bottom w:val="single" w:sz="6" w:space="0" w:color="A6A6A6" w:themeColor="background1" w:themeShade="A6"/>
              <w:right w:val="single" w:sz="6"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6" w:space="0" w:color="A6A6A6" w:themeColor="background1" w:themeShade="A6"/>
              <w:bottom w:val="single" w:sz="6"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186"/>
        </w:trPr>
        <w:tc>
          <w:tcPr>
            <w:tcW w:w="6663" w:type="dxa"/>
            <w:vMerge w:val="restart"/>
            <w:shd w:val="clear" w:color="auto" w:fill="EDEDED" w:themeFill="accent3" w:themeFillTint="33"/>
          </w:tcPr>
          <w:p w:rsidR="00690D5F" w:rsidRPr="00AA1549" w:rsidRDefault="00690D5F" w:rsidP="00690D5F">
            <w:pPr>
              <w:pStyle w:val="Prrafodelista"/>
              <w:numPr>
                <w:ilvl w:val="0"/>
                <w:numId w:val="2"/>
              </w:numPr>
              <w:spacing w:after="0" w:line="240" w:lineRule="auto"/>
              <w:ind w:left="121" w:hanging="121"/>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Analizar las características de la población española en lo referente a distribución, dinámica natural, evolución y movimientos migratorios.</w:t>
            </w:r>
          </w:p>
        </w:tc>
        <w:tc>
          <w:tcPr>
            <w:tcW w:w="7131" w:type="dxa"/>
            <w:tcBorders>
              <w:bottom w:val="single" w:sz="12" w:space="0" w:color="FFFFFF" w:themeColor="background1"/>
              <w:right w:val="single" w:sz="2" w:space="0" w:color="A6A6A6" w:themeColor="background1" w:themeShade="A6"/>
            </w:tcBorders>
            <w:shd w:val="clear" w:color="auto" w:fill="EDEDED" w:themeFill="accent3"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 xml:space="preserve">Localiza los espacios más poblados de España y Andalucía. </w:t>
            </w:r>
          </w:p>
        </w:tc>
        <w:tc>
          <w:tcPr>
            <w:tcW w:w="283" w:type="dxa"/>
            <w:tcBorders>
              <w:top w:val="single" w:sz="6" w:space="0" w:color="A6A6A6" w:themeColor="background1" w:themeShade="A6"/>
              <w:left w:val="single" w:sz="2" w:space="0" w:color="A6A6A6" w:themeColor="background1" w:themeShade="A6"/>
              <w:bottom w:val="single" w:sz="2" w:space="0" w:color="A6A6A6" w:themeColor="background1" w:themeShade="A6"/>
              <w:right w:val="single" w:sz="6" w:space="0" w:color="A6A6A6" w:themeColor="background1" w:themeShade="A6"/>
            </w:tcBorders>
            <w:shd w:val="clear" w:color="auto" w:fill="auto"/>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6" w:space="0" w:color="A6A6A6" w:themeColor="background1" w:themeShade="A6"/>
              <w:left w:val="single" w:sz="6" w:space="0" w:color="A6A6A6" w:themeColor="background1" w:themeShade="A6"/>
              <w:bottom w:val="single" w:sz="2" w:space="0" w:color="A6A6A6" w:themeColor="background1" w:themeShade="A6"/>
              <w:right w:val="single" w:sz="6"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6" w:space="0" w:color="A6A6A6" w:themeColor="background1" w:themeShade="A6"/>
              <w:left w:val="single" w:sz="6" w:space="0" w:color="A6A6A6" w:themeColor="background1" w:themeShade="A6"/>
              <w:bottom w:val="single" w:sz="2" w:space="0" w:color="A6A6A6" w:themeColor="background1" w:themeShade="A6"/>
              <w:right w:val="single" w:sz="6"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6" w:space="0" w:color="A6A6A6" w:themeColor="background1" w:themeShade="A6"/>
              <w:left w:val="single" w:sz="6" w:space="0" w:color="A6A6A6" w:themeColor="background1" w:themeShade="A6"/>
              <w:bottom w:val="single" w:sz="2" w:space="0" w:color="A6A6A6" w:themeColor="background1" w:themeShade="A6"/>
              <w:right w:val="single" w:sz="6"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6" w:space="0" w:color="A6A6A6" w:themeColor="background1" w:themeShade="A6"/>
              <w:left w:val="single" w:sz="6" w:space="0" w:color="A6A6A6" w:themeColor="background1" w:themeShade="A6"/>
              <w:bottom w:val="single" w:sz="2" w:space="0" w:color="A6A6A6" w:themeColor="background1" w:themeShade="A6"/>
              <w:right w:val="single" w:sz="6"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6" w:space="0" w:color="A6A6A6" w:themeColor="background1" w:themeShade="A6"/>
              <w:left w:val="single" w:sz="6" w:space="0" w:color="A6A6A6" w:themeColor="background1" w:themeShade="A6"/>
              <w:bottom w:val="single" w:sz="2" w:space="0" w:color="A6A6A6" w:themeColor="background1" w:themeShade="A6"/>
              <w:right w:val="single" w:sz="6"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6" w:space="0" w:color="A6A6A6" w:themeColor="background1" w:themeShade="A6"/>
              <w:left w:val="single" w:sz="6"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572"/>
        </w:trPr>
        <w:tc>
          <w:tcPr>
            <w:tcW w:w="6663" w:type="dxa"/>
            <w:vMerge/>
            <w:shd w:val="clear" w:color="auto" w:fill="EDEDED" w:themeFill="accent3" w:themeFillTint="33"/>
          </w:tcPr>
          <w:p w:rsidR="00690D5F" w:rsidRPr="00AA1549" w:rsidRDefault="00690D5F" w:rsidP="00690D5F">
            <w:pPr>
              <w:pStyle w:val="Prrafodelista"/>
              <w:numPr>
                <w:ilvl w:val="0"/>
                <w:numId w:val="2"/>
              </w:numPr>
              <w:spacing w:after="0" w:line="240" w:lineRule="auto"/>
              <w:ind w:left="238" w:hanging="238"/>
              <w:jc w:val="both"/>
              <w:rPr>
                <w:rFonts w:ascii="Times New Roman" w:hAnsi="Times New Roman" w:cs="Times New Roman"/>
                <w:color w:val="333333"/>
                <w:sz w:val="24"/>
                <w:szCs w:val="24"/>
              </w:rPr>
            </w:pPr>
          </w:p>
        </w:tc>
        <w:tc>
          <w:tcPr>
            <w:tcW w:w="7131" w:type="dxa"/>
            <w:tcBorders>
              <w:right w:val="single" w:sz="2" w:space="0" w:color="A6A6A6" w:themeColor="background1" w:themeShade="A6"/>
            </w:tcBorders>
            <w:shd w:val="clear" w:color="auto" w:fill="EDEDED" w:themeFill="accent3"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Analiza los movimientos migratorios de las últimas décadas en el territorio español y andaluz.</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both"/>
              <w:rPr>
                <w:rFonts w:ascii="Times New Roman" w:hAnsi="Times New Roman" w:cs="Times New Roman"/>
                <w:color w:val="333333"/>
                <w:sz w:val="24"/>
                <w:szCs w:val="24"/>
                <w:highlight w:val="yellow"/>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highlight w:val="yellow"/>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highlight w:val="yellow"/>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highlight w:val="yellow"/>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highlight w:val="yellow"/>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highlight w:val="yellow"/>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highlight w:val="yellow"/>
              </w:rPr>
            </w:pPr>
          </w:p>
        </w:tc>
      </w:tr>
      <w:tr w:rsidR="00690D5F" w:rsidRPr="00AA1549" w:rsidTr="00E3275A">
        <w:trPr>
          <w:cantSplit/>
          <w:trHeight w:val="822"/>
        </w:trPr>
        <w:tc>
          <w:tcPr>
            <w:tcW w:w="6663" w:type="dxa"/>
            <w:vMerge w:val="restart"/>
            <w:shd w:val="clear" w:color="auto" w:fill="D9E2F3" w:themeFill="accent5" w:themeFillTint="33"/>
          </w:tcPr>
          <w:p w:rsidR="00690D5F" w:rsidRPr="00AA1549" w:rsidRDefault="00690D5F" w:rsidP="00690D5F">
            <w:pPr>
              <w:pStyle w:val="Prrafodelista"/>
              <w:numPr>
                <w:ilvl w:val="0"/>
                <w:numId w:val="2"/>
              </w:numPr>
              <w:spacing w:after="0" w:line="240" w:lineRule="auto"/>
              <w:ind w:left="121" w:hanging="121"/>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Vincular las formas de discriminación, exclusión e intolera</w:t>
            </w:r>
            <w:r>
              <w:rPr>
                <w:rFonts w:ascii="Times New Roman" w:hAnsi="Times New Roman" w:cs="Times New Roman"/>
                <w:color w:val="333333"/>
                <w:sz w:val="24"/>
                <w:szCs w:val="24"/>
              </w:rPr>
              <w:t xml:space="preserve">ncia existentes </w:t>
            </w:r>
            <w:r w:rsidRPr="00AA1549">
              <w:rPr>
                <w:rFonts w:ascii="Times New Roman" w:hAnsi="Times New Roman" w:cs="Times New Roman"/>
                <w:color w:val="333333"/>
                <w:sz w:val="24"/>
                <w:szCs w:val="24"/>
              </w:rPr>
              <w:t>con el surgimiento de focos de tensión social y política, exponiendo las formas de prevención y resolución de conflictos, comparando la situación de la mujer en Andalucía con la de países subdesarrollados, exponiendo los retos que han de afrontarse en el objetivo de la igualdad entre hombres y mujeres, y qué aportaciones puede realizar la ciudadanía para lograr la consecución de dicho objetivo.</w:t>
            </w:r>
          </w:p>
        </w:tc>
        <w:tc>
          <w:tcPr>
            <w:tcW w:w="7131" w:type="dxa"/>
            <w:tcBorders>
              <w:right w:val="single" w:sz="2" w:space="0" w:color="A6A6A6" w:themeColor="background1" w:themeShade="A6"/>
            </w:tcBorders>
            <w:shd w:val="clear" w:color="auto" w:fill="D9E2F3" w:themeFill="accent5"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Extrae conclusiones tras la lectura de informes y artículos de prensa sobre la problemática generada por la discriminación y exclusión social.</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1233"/>
        </w:trPr>
        <w:tc>
          <w:tcPr>
            <w:tcW w:w="6663" w:type="dxa"/>
            <w:vMerge/>
            <w:tcBorders>
              <w:bottom w:val="single" w:sz="12" w:space="0" w:color="FFFFFF" w:themeColor="background1"/>
            </w:tcBorders>
            <w:shd w:val="clear" w:color="auto" w:fill="D9E2F3" w:themeFill="accent5" w:themeFillTint="33"/>
          </w:tcPr>
          <w:p w:rsidR="00690D5F" w:rsidRPr="00AA1549" w:rsidRDefault="00690D5F" w:rsidP="00690D5F">
            <w:pPr>
              <w:pStyle w:val="Prrafodelista"/>
              <w:numPr>
                <w:ilvl w:val="0"/>
                <w:numId w:val="2"/>
              </w:numPr>
              <w:spacing w:after="0" w:line="240" w:lineRule="auto"/>
              <w:ind w:left="238" w:hanging="238"/>
              <w:jc w:val="both"/>
              <w:rPr>
                <w:rFonts w:ascii="Times New Roman" w:hAnsi="Times New Roman" w:cs="Times New Roman"/>
                <w:color w:val="333333"/>
                <w:sz w:val="24"/>
                <w:szCs w:val="24"/>
              </w:rPr>
            </w:pPr>
          </w:p>
        </w:tc>
        <w:tc>
          <w:tcPr>
            <w:tcW w:w="7131" w:type="dxa"/>
            <w:tcBorders>
              <w:bottom w:val="single" w:sz="12" w:space="0" w:color="FFFFFF" w:themeColor="background1"/>
              <w:right w:val="single" w:sz="2" w:space="0" w:color="A6A6A6" w:themeColor="background1" w:themeShade="A6"/>
            </w:tcBorders>
            <w:shd w:val="clear" w:color="auto" w:fill="D9E2F3" w:themeFill="accent5"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Realiza una galería de imágenes en las que se pueda observar la evolución social de la mujer en Andalucía y la compara con otros países con menor nivel de desarrollo.</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1600"/>
        </w:trPr>
        <w:tc>
          <w:tcPr>
            <w:tcW w:w="6663" w:type="dxa"/>
            <w:shd w:val="clear" w:color="auto" w:fill="EDEDED" w:themeFill="accent3" w:themeFillTint="33"/>
          </w:tcPr>
          <w:p w:rsidR="00690D5F" w:rsidRPr="00AA1549" w:rsidRDefault="00690D5F" w:rsidP="00690D5F">
            <w:pPr>
              <w:pStyle w:val="Prrafodelista"/>
              <w:numPr>
                <w:ilvl w:val="0"/>
                <w:numId w:val="2"/>
              </w:numPr>
              <w:spacing w:after="0" w:line="240" w:lineRule="auto"/>
              <w:ind w:left="121" w:hanging="121"/>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lastRenderedPageBreak/>
              <w:t>Participa</w:t>
            </w:r>
            <w:r>
              <w:rPr>
                <w:rFonts w:ascii="Times New Roman" w:hAnsi="Times New Roman" w:cs="Times New Roman"/>
                <w:color w:val="333333"/>
                <w:sz w:val="24"/>
                <w:szCs w:val="24"/>
              </w:rPr>
              <w:t>r</w:t>
            </w:r>
            <w:r w:rsidRPr="00AA1549">
              <w:rPr>
                <w:rFonts w:ascii="Times New Roman" w:hAnsi="Times New Roman" w:cs="Times New Roman"/>
                <w:color w:val="333333"/>
                <w:sz w:val="24"/>
                <w:szCs w:val="24"/>
              </w:rPr>
              <w:t xml:space="preserve"> en debates tras haber recopilado información por medio de las tecnologías de la información y la comunicación, sobre problemáticas económicas, sociales y políticas del mundo actual, comparándolas con la situación en Andalucía.</w:t>
            </w:r>
          </w:p>
        </w:tc>
        <w:tc>
          <w:tcPr>
            <w:tcW w:w="7131" w:type="dxa"/>
            <w:tcBorders>
              <w:right w:val="single" w:sz="2" w:space="0" w:color="A6A6A6" w:themeColor="background1" w:themeShade="A6"/>
            </w:tcBorders>
            <w:shd w:val="clear" w:color="auto" w:fill="EDEDED" w:themeFill="accent3"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Participa de forma activa en debates, realizando estudios de caso, usando las tecnologías de la información y la comunicación, sobre la interrelación entre conflictos sociales y políticos y las diversas formas de discriminación, buscando en dichos debates soluciones para los mismos.</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165"/>
        </w:trPr>
        <w:tc>
          <w:tcPr>
            <w:tcW w:w="6663" w:type="dxa"/>
            <w:tcBorders>
              <w:bottom w:val="single" w:sz="12" w:space="0" w:color="FFFFFF" w:themeColor="background1"/>
            </w:tcBorders>
            <w:shd w:val="clear" w:color="auto" w:fill="D9E2F3" w:themeFill="accent5" w:themeFillTint="33"/>
          </w:tcPr>
          <w:p w:rsidR="00690D5F" w:rsidRPr="00AA1549" w:rsidRDefault="00690D5F" w:rsidP="00690D5F">
            <w:pPr>
              <w:pStyle w:val="Prrafodelista"/>
              <w:numPr>
                <w:ilvl w:val="0"/>
                <w:numId w:val="2"/>
              </w:numPr>
              <w:spacing w:after="0" w:line="240" w:lineRule="auto"/>
              <w:ind w:left="121" w:hanging="121"/>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Entender la idea de desarrollo sostenible y sus implicaciones, y conocer las iniciativas llevadas a cabo en Andalucía con respecto al mismo.</w:t>
            </w:r>
          </w:p>
        </w:tc>
        <w:tc>
          <w:tcPr>
            <w:tcW w:w="7131" w:type="dxa"/>
            <w:tcBorders>
              <w:bottom w:val="single" w:sz="12" w:space="0" w:color="FFFFFF" w:themeColor="background1"/>
              <w:right w:val="single" w:sz="2" w:space="0" w:color="A6A6A6" w:themeColor="background1" w:themeShade="A6"/>
            </w:tcBorders>
            <w:shd w:val="clear" w:color="auto" w:fill="D9E2F3" w:themeFill="accent5"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Define el concepto de desarrollo sostenible junto con otros relacionados con el mismo.</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165"/>
        </w:trPr>
        <w:tc>
          <w:tcPr>
            <w:tcW w:w="6663" w:type="dxa"/>
            <w:shd w:val="clear" w:color="auto" w:fill="EDEDED" w:themeFill="accent3" w:themeFillTint="33"/>
          </w:tcPr>
          <w:p w:rsidR="00690D5F" w:rsidRPr="00AA1549" w:rsidRDefault="00690D5F" w:rsidP="00690D5F">
            <w:pPr>
              <w:pStyle w:val="Prrafodelista"/>
              <w:numPr>
                <w:ilvl w:val="0"/>
                <w:numId w:val="2"/>
              </w:numPr>
              <w:spacing w:after="0" w:line="240" w:lineRule="auto"/>
              <w:ind w:left="121" w:hanging="121"/>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Analizar mediante diversos medios el comercio desigual entre países y la deuda externa entre desarrollados y en desarrollo.</w:t>
            </w:r>
          </w:p>
        </w:tc>
        <w:tc>
          <w:tcPr>
            <w:tcW w:w="7131" w:type="dxa"/>
            <w:tcBorders>
              <w:right w:val="single" w:sz="2" w:space="0" w:color="A6A6A6" w:themeColor="background1" w:themeShade="A6"/>
            </w:tcBorders>
            <w:shd w:val="clear" w:color="auto" w:fill="EDEDED" w:themeFill="accent3"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Explica de manera razonada el funcionamiento del comercio a nivel mundial y señala los organismos internacionales que agrupan las distintas zonas comerciales en el mundo.</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r w:rsidR="00690D5F" w:rsidRPr="00AA1549" w:rsidTr="00E3275A">
        <w:trPr>
          <w:cantSplit/>
          <w:trHeight w:val="165"/>
        </w:trPr>
        <w:tc>
          <w:tcPr>
            <w:tcW w:w="6663" w:type="dxa"/>
            <w:shd w:val="clear" w:color="auto" w:fill="D9E2F3" w:themeFill="accent5" w:themeFillTint="33"/>
          </w:tcPr>
          <w:p w:rsidR="00690D5F" w:rsidRPr="00AA1549" w:rsidRDefault="00690D5F" w:rsidP="00690D5F">
            <w:pPr>
              <w:pStyle w:val="Prrafodelista"/>
              <w:numPr>
                <w:ilvl w:val="0"/>
                <w:numId w:val="2"/>
              </w:numPr>
              <w:spacing w:after="0" w:line="240" w:lineRule="auto"/>
              <w:ind w:left="121" w:hanging="121"/>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Relacionar las situaciones de extrema pobreza con el desarrollo de conflictos bélicos en diversas regiones del planeta.</w:t>
            </w:r>
          </w:p>
        </w:tc>
        <w:tc>
          <w:tcPr>
            <w:tcW w:w="7131" w:type="dxa"/>
            <w:tcBorders>
              <w:right w:val="single" w:sz="2" w:space="0" w:color="A6A6A6" w:themeColor="background1" w:themeShade="A6"/>
            </w:tcBorders>
            <w:shd w:val="clear" w:color="auto" w:fill="D9E2F3" w:themeFill="accent5" w:themeFillTint="33"/>
          </w:tcPr>
          <w:p w:rsidR="00690D5F" w:rsidRPr="00AA1549" w:rsidRDefault="00690D5F" w:rsidP="00690D5F">
            <w:pPr>
              <w:pStyle w:val="Prrafodelista"/>
              <w:numPr>
                <w:ilvl w:val="0"/>
                <w:numId w:val="1"/>
              </w:numPr>
              <w:spacing w:after="0" w:line="240" w:lineRule="auto"/>
              <w:ind w:left="207" w:hanging="207"/>
              <w:jc w:val="both"/>
              <w:rPr>
                <w:rFonts w:ascii="Times New Roman" w:hAnsi="Times New Roman" w:cs="Times New Roman"/>
                <w:color w:val="333333"/>
                <w:sz w:val="24"/>
                <w:szCs w:val="24"/>
              </w:rPr>
            </w:pPr>
            <w:r w:rsidRPr="00AA1549">
              <w:rPr>
                <w:rFonts w:ascii="Times New Roman" w:hAnsi="Times New Roman" w:cs="Times New Roman"/>
                <w:color w:val="333333"/>
                <w:sz w:val="24"/>
                <w:szCs w:val="24"/>
              </w:rPr>
              <w:t>Señala en el mapa las diversas áreas en conflicto bélico a nivel mundial y las relaciona con situaciones de pobreza en las mismas.</w:t>
            </w: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both"/>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c>
          <w:tcPr>
            <w:tcW w:w="28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4B083" w:themeFill="accent2" w:themeFillTint="99"/>
          </w:tcPr>
          <w:p w:rsidR="00690D5F" w:rsidRPr="00AA1549" w:rsidRDefault="00690D5F" w:rsidP="0045207A">
            <w:pPr>
              <w:spacing w:after="0" w:line="240" w:lineRule="auto"/>
              <w:contextualSpacing/>
              <w:jc w:val="center"/>
              <w:rPr>
                <w:rFonts w:ascii="Times New Roman" w:hAnsi="Times New Roman" w:cs="Times New Roman"/>
                <w:color w:val="333333"/>
                <w:sz w:val="24"/>
                <w:szCs w:val="24"/>
              </w:rPr>
            </w:pPr>
          </w:p>
        </w:tc>
      </w:tr>
    </w:tbl>
    <w:p w:rsidR="00690D5F" w:rsidRDefault="00690D5F" w:rsidP="00896E56">
      <w:pPr>
        <w:jc w:val="both"/>
        <w:rPr>
          <w:rFonts w:ascii="Arial Rounded MT Bold" w:hAnsi="Arial Rounded MT Bold"/>
          <w:b/>
          <w:sz w:val="28"/>
          <w:szCs w:val="28"/>
        </w:rPr>
      </w:pPr>
    </w:p>
    <w:p w:rsidR="00690D5F" w:rsidRDefault="00690D5F" w:rsidP="00896E56">
      <w:pPr>
        <w:jc w:val="both"/>
        <w:rPr>
          <w:rFonts w:ascii="Arial Rounded MT Bold" w:hAnsi="Arial Rounded MT Bold"/>
          <w:b/>
          <w:sz w:val="28"/>
          <w:szCs w:val="28"/>
        </w:rPr>
      </w:pPr>
    </w:p>
    <w:tbl>
      <w:tblPr>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5824"/>
      </w:tblGrid>
      <w:tr w:rsidR="00690D5F" w:rsidRPr="00AA1549" w:rsidTr="0045207A">
        <w:trPr>
          <w:jc w:val="center"/>
        </w:trPr>
        <w:tc>
          <w:tcPr>
            <w:tcW w:w="5824" w:type="dxa"/>
            <w:tcBorders>
              <w:bottom w:val="single" w:sz="12" w:space="0" w:color="FFFFFF" w:themeColor="background1"/>
            </w:tcBorders>
            <w:shd w:val="clear" w:color="auto" w:fill="C9C9C9" w:themeFill="accent3" w:themeFillTint="99"/>
          </w:tcPr>
          <w:p w:rsidR="00690D5F" w:rsidRPr="00AA1549" w:rsidRDefault="00690D5F" w:rsidP="0045207A">
            <w:pPr>
              <w:spacing w:after="0" w:line="240" w:lineRule="auto"/>
              <w:contextualSpacing/>
              <w:jc w:val="both"/>
              <w:rPr>
                <w:rFonts w:ascii="Times New Roman" w:hAnsi="Times New Roman" w:cs="Times New Roman"/>
                <w:b/>
                <w:color w:val="333333"/>
                <w:sz w:val="24"/>
                <w:szCs w:val="24"/>
              </w:rPr>
            </w:pPr>
            <w:r w:rsidRPr="00AA1549">
              <w:rPr>
                <w:rFonts w:ascii="Times New Roman" w:hAnsi="Times New Roman" w:cs="Times New Roman"/>
                <w:b/>
                <w:color w:val="333333"/>
                <w:sz w:val="24"/>
                <w:szCs w:val="24"/>
              </w:rPr>
              <w:t>COMPETENCIAS</w:t>
            </w:r>
          </w:p>
        </w:tc>
      </w:tr>
      <w:tr w:rsidR="00690D5F" w:rsidRPr="00AA1549" w:rsidTr="0045207A">
        <w:trPr>
          <w:trHeight w:val="245"/>
          <w:jc w:val="center"/>
        </w:trPr>
        <w:tc>
          <w:tcPr>
            <w:tcW w:w="5824" w:type="dxa"/>
            <w:shd w:val="clear" w:color="auto" w:fill="D5DCE4" w:themeFill="text2" w:themeFillTint="33"/>
          </w:tcPr>
          <w:p w:rsidR="00690D5F" w:rsidRPr="00B112E8" w:rsidRDefault="00690D5F" w:rsidP="0045207A">
            <w:pPr>
              <w:spacing w:after="0" w:line="240" w:lineRule="auto"/>
              <w:contextualSpacing/>
              <w:jc w:val="both"/>
              <w:rPr>
                <w:rFonts w:ascii="Times New Roman" w:hAnsi="Times New Roman" w:cs="Times New Roman"/>
                <w:b/>
                <w:bCs/>
                <w:i/>
                <w:color w:val="333333"/>
                <w:sz w:val="24"/>
                <w:szCs w:val="24"/>
              </w:rPr>
            </w:pPr>
            <w:r w:rsidRPr="00AA1549">
              <w:rPr>
                <w:rFonts w:ascii="Times New Roman" w:hAnsi="Times New Roman" w:cs="Times New Roman"/>
                <w:b/>
                <w:bCs/>
                <w:i/>
                <w:color w:val="333333"/>
                <w:sz w:val="24"/>
                <w:szCs w:val="24"/>
              </w:rPr>
              <w:t>1. Comunicación lingüística.</w:t>
            </w:r>
          </w:p>
        </w:tc>
      </w:tr>
      <w:tr w:rsidR="00690D5F" w:rsidRPr="00AA1549" w:rsidTr="0045207A">
        <w:trPr>
          <w:trHeight w:val="203"/>
          <w:jc w:val="center"/>
        </w:trPr>
        <w:tc>
          <w:tcPr>
            <w:tcW w:w="5824" w:type="dxa"/>
            <w:shd w:val="clear" w:color="auto" w:fill="D5DCE4" w:themeFill="text2" w:themeFillTint="33"/>
          </w:tcPr>
          <w:p w:rsidR="00690D5F" w:rsidRPr="00AA1549" w:rsidRDefault="00690D5F" w:rsidP="0045207A">
            <w:pPr>
              <w:spacing w:after="0" w:line="240" w:lineRule="auto"/>
              <w:contextualSpacing/>
              <w:jc w:val="both"/>
              <w:rPr>
                <w:rFonts w:ascii="Times New Roman" w:hAnsi="Times New Roman" w:cs="Times New Roman"/>
                <w:b/>
                <w:i/>
                <w:color w:val="333333"/>
                <w:sz w:val="24"/>
                <w:szCs w:val="24"/>
              </w:rPr>
            </w:pPr>
            <w:r>
              <w:rPr>
                <w:rFonts w:ascii="Times New Roman" w:hAnsi="Times New Roman" w:cs="Times New Roman"/>
                <w:b/>
                <w:bCs/>
                <w:i/>
                <w:color w:val="333333"/>
                <w:sz w:val="24"/>
                <w:szCs w:val="24"/>
              </w:rPr>
              <w:t xml:space="preserve">2. </w:t>
            </w:r>
            <w:r w:rsidR="00331756">
              <w:rPr>
                <w:rFonts w:ascii="Times New Roman" w:hAnsi="Times New Roman" w:cs="Times New Roman"/>
                <w:b/>
                <w:bCs/>
                <w:i/>
                <w:color w:val="333333"/>
                <w:sz w:val="24"/>
                <w:szCs w:val="24"/>
                <w:shd w:val="clear" w:color="auto" w:fill="D5DCE4" w:themeFill="text2" w:themeFillTint="33"/>
              </w:rPr>
              <w:t>M</w:t>
            </w:r>
            <w:r>
              <w:rPr>
                <w:rFonts w:ascii="Times New Roman" w:hAnsi="Times New Roman" w:cs="Times New Roman"/>
                <w:b/>
                <w:bCs/>
                <w:i/>
                <w:color w:val="333333"/>
                <w:sz w:val="24"/>
                <w:szCs w:val="24"/>
                <w:shd w:val="clear" w:color="auto" w:fill="D5DCE4" w:themeFill="text2" w:themeFillTint="33"/>
              </w:rPr>
              <w:t>atemática y c.</w:t>
            </w:r>
            <w:r w:rsidRPr="00F30DD4">
              <w:rPr>
                <w:rFonts w:ascii="Times New Roman" w:hAnsi="Times New Roman" w:cs="Times New Roman"/>
                <w:b/>
                <w:bCs/>
                <w:i/>
                <w:color w:val="333333"/>
                <w:sz w:val="24"/>
                <w:szCs w:val="24"/>
                <w:shd w:val="clear" w:color="auto" w:fill="D5DCE4" w:themeFill="text2" w:themeFillTint="33"/>
              </w:rPr>
              <w:t xml:space="preserve"> básicas en ciencia y tecnología.</w:t>
            </w:r>
          </w:p>
        </w:tc>
      </w:tr>
      <w:tr w:rsidR="00690D5F" w:rsidRPr="00AA1549" w:rsidTr="0045207A">
        <w:trPr>
          <w:trHeight w:val="256"/>
          <w:jc w:val="center"/>
        </w:trPr>
        <w:tc>
          <w:tcPr>
            <w:tcW w:w="5824" w:type="dxa"/>
            <w:shd w:val="clear" w:color="auto" w:fill="D5DCE4" w:themeFill="text2" w:themeFillTint="33"/>
          </w:tcPr>
          <w:p w:rsidR="00690D5F" w:rsidRPr="00AA1549" w:rsidRDefault="00331756" w:rsidP="00690D5F">
            <w:pPr>
              <w:pStyle w:val="Prrafodelista"/>
              <w:numPr>
                <w:ilvl w:val="0"/>
                <w:numId w:val="3"/>
              </w:numPr>
              <w:spacing w:after="0" w:line="240" w:lineRule="auto"/>
              <w:ind w:left="290" w:hanging="284"/>
              <w:jc w:val="both"/>
              <w:rPr>
                <w:rFonts w:ascii="Times New Roman" w:hAnsi="Times New Roman" w:cs="Times New Roman"/>
                <w:b/>
                <w:i/>
                <w:color w:val="333333"/>
                <w:sz w:val="24"/>
                <w:szCs w:val="24"/>
              </w:rPr>
            </w:pPr>
            <w:r>
              <w:rPr>
                <w:rFonts w:ascii="Times New Roman" w:hAnsi="Times New Roman" w:cs="Times New Roman"/>
                <w:b/>
                <w:bCs/>
                <w:i/>
                <w:color w:val="333333"/>
                <w:sz w:val="24"/>
                <w:szCs w:val="24"/>
              </w:rPr>
              <w:t>D</w:t>
            </w:r>
            <w:r w:rsidR="00690D5F" w:rsidRPr="00AA1549">
              <w:rPr>
                <w:rFonts w:ascii="Times New Roman" w:hAnsi="Times New Roman" w:cs="Times New Roman"/>
                <w:b/>
                <w:bCs/>
                <w:i/>
                <w:color w:val="333333"/>
                <w:sz w:val="24"/>
                <w:szCs w:val="24"/>
              </w:rPr>
              <w:t>igital.</w:t>
            </w:r>
          </w:p>
        </w:tc>
      </w:tr>
      <w:tr w:rsidR="00690D5F" w:rsidRPr="00AA1549" w:rsidTr="0045207A">
        <w:trPr>
          <w:trHeight w:val="194"/>
          <w:jc w:val="center"/>
        </w:trPr>
        <w:tc>
          <w:tcPr>
            <w:tcW w:w="5824" w:type="dxa"/>
            <w:shd w:val="clear" w:color="auto" w:fill="D5DCE4" w:themeFill="text2" w:themeFillTint="33"/>
          </w:tcPr>
          <w:p w:rsidR="00690D5F" w:rsidRPr="00AA1549" w:rsidRDefault="00331756" w:rsidP="00690D5F">
            <w:pPr>
              <w:pStyle w:val="Prrafodelista"/>
              <w:numPr>
                <w:ilvl w:val="0"/>
                <w:numId w:val="3"/>
              </w:numPr>
              <w:spacing w:after="0" w:line="240" w:lineRule="auto"/>
              <w:ind w:left="290" w:hanging="290"/>
              <w:jc w:val="both"/>
              <w:rPr>
                <w:rFonts w:ascii="Times New Roman" w:hAnsi="Times New Roman" w:cs="Times New Roman"/>
                <w:b/>
                <w:i/>
                <w:color w:val="333333"/>
                <w:sz w:val="24"/>
                <w:szCs w:val="24"/>
              </w:rPr>
            </w:pPr>
            <w:r>
              <w:rPr>
                <w:rFonts w:ascii="Times New Roman" w:hAnsi="Times New Roman" w:cs="Times New Roman"/>
                <w:b/>
                <w:bCs/>
                <w:i/>
                <w:color w:val="333333"/>
                <w:sz w:val="24"/>
                <w:szCs w:val="24"/>
              </w:rPr>
              <w:t>A</w:t>
            </w:r>
            <w:r w:rsidR="00690D5F" w:rsidRPr="00AA1549">
              <w:rPr>
                <w:rFonts w:ascii="Times New Roman" w:hAnsi="Times New Roman" w:cs="Times New Roman"/>
                <w:b/>
                <w:bCs/>
                <w:i/>
                <w:color w:val="333333"/>
                <w:sz w:val="24"/>
                <w:szCs w:val="24"/>
              </w:rPr>
              <w:t>prender a aprender.</w:t>
            </w:r>
          </w:p>
        </w:tc>
      </w:tr>
      <w:tr w:rsidR="00690D5F" w:rsidRPr="00AA1549" w:rsidTr="0045207A">
        <w:trPr>
          <w:trHeight w:val="237"/>
          <w:jc w:val="center"/>
        </w:trPr>
        <w:tc>
          <w:tcPr>
            <w:tcW w:w="5824" w:type="dxa"/>
            <w:shd w:val="clear" w:color="auto" w:fill="D5DCE4" w:themeFill="text2" w:themeFillTint="33"/>
          </w:tcPr>
          <w:p w:rsidR="00690D5F" w:rsidRPr="00AA1549" w:rsidRDefault="00331756" w:rsidP="00690D5F">
            <w:pPr>
              <w:pStyle w:val="Prrafodelista"/>
              <w:numPr>
                <w:ilvl w:val="0"/>
                <w:numId w:val="3"/>
              </w:numPr>
              <w:spacing w:after="0" w:line="240" w:lineRule="auto"/>
              <w:ind w:left="289" w:hanging="289"/>
              <w:jc w:val="both"/>
              <w:rPr>
                <w:rFonts w:ascii="Times New Roman" w:hAnsi="Times New Roman" w:cs="Times New Roman"/>
                <w:b/>
                <w:i/>
                <w:color w:val="333333"/>
                <w:sz w:val="24"/>
                <w:szCs w:val="24"/>
              </w:rPr>
            </w:pPr>
            <w:r>
              <w:rPr>
                <w:rFonts w:ascii="Times New Roman" w:hAnsi="Times New Roman" w:cs="Times New Roman"/>
                <w:b/>
                <w:bCs/>
                <w:i/>
                <w:color w:val="333333"/>
                <w:sz w:val="24"/>
                <w:szCs w:val="24"/>
              </w:rPr>
              <w:t>S</w:t>
            </w:r>
            <w:r w:rsidR="00690D5F" w:rsidRPr="00AA1549">
              <w:rPr>
                <w:rFonts w:ascii="Times New Roman" w:hAnsi="Times New Roman" w:cs="Times New Roman"/>
                <w:b/>
                <w:bCs/>
                <w:i/>
                <w:color w:val="333333"/>
                <w:sz w:val="24"/>
                <w:szCs w:val="24"/>
              </w:rPr>
              <w:t>ocial y cívica.</w:t>
            </w:r>
          </w:p>
        </w:tc>
      </w:tr>
      <w:tr w:rsidR="00690D5F" w:rsidRPr="00AA1549" w:rsidTr="0045207A">
        <w:trPr>
          <w:trHeight w:val="112"/>
          <w:jc w:val="center"/>
        </w:trPr>
        <w:tc>
          <w:tcPr>
            <w:tcW w:w="5824" w:type="dxa"/>
            <w:shd w:val="clear" w:color="auto" w:fill="D5DCE4" w:themeFill="text2" w:themeFillTint="33"/>
          </w:tcPr>
          <w:p w:rsidR="00690D5F" w:rsidRPr="00AA1549" w:rsidRDefault="00690D5F" w:rsidP="00690D5F">
            <w:pPr>
              <w:pStyle w:val="Prrafodelista"/>
              <w:numPr>
                <w:ilvl w:val="0"/>
                <w:numId w:val="3"/>
              </w:numPr>
              <w:spacing w:after="0" w:line="240" w:lineRule="auto"/>
              <w:ind w:left="290" w:hanging="290"/>
              <w:jc w:val="both"/>
              <w:rPr>
                <w:rFonts w:ascii="Times New Roman" w:hAnsi="Times New Roman" w:cs="Times New Roman"/>
                <w:b/>
                <w:i/>
                <w:color w:val="333333"/>
                <w:sz w:val="24"/>
                <w:szCs w:val="24"/>
              </w:rPr>
            </w:pPr>
            <w:r w:rsidRPr="00AA1549">
              <w:rPr>
                <w:rFonts w:ascii="Times New Roman" w:hAnsi="Times New Roman" w:cs="Times New Roman"/>
                <w:b/>
                <w:bCs/>
                <w:i/>
                <w:color w:val="333333"/>
                <w:sz w:val="24"/>
                <w:szCs w:val="24"/>
              </w:rPr>
              <w:t>Sentido de iniciativa y espíritu emprendedor</w:t>
            </w:r>
            <w:r w:rsidRPr="00AA1549">
              <w:rPr>
                <w:rFonts w:ascii="Times New Roman" w:hAnsi="Times New Roman" w:cs="Times New Roman"/>
                <w:b/>
                <w:i/>
                <w:color w:val="333333"/>
                <w:sz w:val="24"/>
                <w:szCs w:val="24"/>
              </w:rPr>
              <w:t>.</w:t>
            </w:r>
          </w:p>
        </w:tc>
      </w:tr>
      <w:tr w:rsidR="00690D5F" w:rsidRPr="00AA1549" w:rsidTr="0045207A">
        <w:trPr>
          <w:trHeight w:val="216"/>
          <w:jc w:val="center"/>
        </w:trPr>
        <w:tc>
          <w:tcPr>
            <w:tcW w:w="5824" w:type="dxa"/>
            <w:shd w:val="clear" w:color="auto" w:fill="D5DCE4" w:themeFill="text2" w:themeFillTint="33"/>
          </w:tcPr>
          <w:p w:rsidR="00690D5F" w:rsidRPr="00AA1549" w:rsidRDefault="00690D5F" w:rsidP="0045207A">
            <w:pPr>
              <w:spacing w:after="0" w:line="240" w:lineRule="auto"/>
              <w:ind w:left="290" w:hanging="290"/>
              <w:contextualSpacing/>
              <w:jc w:val="both"/>
              <w:rPr>
                <w:rFonts w:ascii="Times New Roman" w:hAnsi="Times New Roman" w:cs="Times New Roman"/>
                <w:b/>
                <w:bCs/>
                <w:i/>
                <w:color w:val="333333"/>
                <w:sz w:val="24"/>
                <w:szCs w:val="24"/>
              </w:rPr>
            </w:pPr>
            <w:r w:rsidRPr="00AA1549">
              <w:rPr>
                <w:rFonts w:ascii="Times New Roman" w:hAnsi="Times New Roman" w:cs="Times New Roman"/>
                <w:b/>
                <w:bCs/>
                <w:i/>
                <w:color w:val="333333"/>
                <w:sz w:val="24"/>
                <w:szCs w:val="24"/>
              </w:rPr>
              <w:t>7. Conciencia y expresiones culturales.</w:t>
            </w:r>
          </w:p>
        </w:tc>
      </w:tr>
    </w:tbl>
    <w:p w:rsidR="00690D5F" w:rsidRPr="00896E56" w:rsidRDefault="00690D5F" w:rsidP="00896E56">
      <w:pPr>
        <w:jc w:val="both"/>
        <w:rPr>
          <w:rFonts w:ascii="Arial Rounded MT Bold" w:hAnsi="Arial Rounded MT Bold"/>
          <w:b/>
          <w:sz w:val="28"/>
          <w:szCs w:val="28"/>
        </w:rPr>
      </w:pPr>
      <w:bookmarkStart w:id="0" w:name="_GoBack"/>
      <w:bookmarkEnd w:id="0"/>
    </w:p>
    <w:sectPr w:rsidR="00690D5F" w:rsidRPr="00896E56" w:rsidSect="00F102E2">
      <w:pgSz w:w="16838" w:h="11906" w:orient="landscape"/>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5351"/>
    <w:multiLevelType w:val="hybridMultilevel"/>
    <w:tmpl w:val="101C88D4"/>
    <w:lvl w:ilvl="0" w:tplc="0C0A0005">
      <w:start w:val="1"/>
      <w:numFmt w:val="bullet"/>
      <w:lvlText w:val=""/>
      <w:lvlJc w:val="left"/>
      <w:pPr>
        <w:ind w:left="1006" w:hanging="360"/>
      </w:pPr>
      <w:rPr>
        <w:rFonts w:ascii="Wingdings" w:hAnsi="Wingdings" w:hint="default"/>
      </w:rPr>
    </w:lvl>
    <w:lvl w:ilvl="1" w:tplc="0C0A0003" w:tentative="1">
      <w:start w:val="1"/>
      <w:numFmt w:val="bullet"/>
      <w:lvlText w:val="o"/>
      <w:lvlJc w:val="left"/>
      <w:pPr>
        <w:ind w:left="1726" w:hanging="360"/>
      </w:pPr>
      <w:rPr>
        <w:rFonts w:ascii="Courier New" w:hAnsi="Courier New" w:cs="Courier New" w:hint="default"/>
      </w:rPr>
    </w:lvl>
    <w:lvl w:ilvl="2" w:tplc="0C0A0005" w:tentative="1">
      <w:start w:val="1"/>
      <w:numFmt w:val="bullet"/>
      <w:lvlText w:val=""/>
      <w:lvlJc w:val="left"/>
      <w:pPr>
        <w:ind w:left="2446" w:hanging="360"/>
      </w:pPr>
      <w:rPr>
        <w:rFonts w:ascii="Wingdings" w:hAnsi="Wingdings" w:hint="default"/>
      </w:rPr>
    </w:lvl>
    <w:lvl w:ilvl="3" w:tplc="0C0A0001" w:tentative="1">
      <w:start w:val="1"/>
      <w:numFmt w:val="bullet"/>
      <w:lvlText w:val=""/>
      <w:lvlJc w:val="left"/>
      <w:pPr>
        <w:ind w:left="3166" w:hanging="360"/>
      </w:pPr>
      <w:rPr>
        <w:rFonts w:ascii="Symbol" w:hAnsi="Symbol" w:hint="default"/>
      </w:rPr>
    </w:lvl>
    <w:lvl w:ilvl="4" w:tplc="0C0A0003" w:tentative="1">
      <w:start w:val="1"/>
      <w:numFmt w:val="bullet"/>
      <w:lvlText w:val="o"/>
      <w:lvlJc w:val="left"/>
      <w:pPr>
        <w:ind w:left="3886" w:hanging="360"/>
      </w:pPr>
      <w:rPr>
        <w:rFonts w:ascii="Courier New" w:hAnsi="Courier New" w:cs="Courier New" w:hint="default"/>
      </w:rPr>
    </w:lvl>
    <w:lvl w:ilvl="5" w:tplc="0C0A0005" w:tentative="1">
      <w:start w:val="1"/>
      <w:numFmt w:val="bullet"/>
      <w:lvlText w:val=""/>
      <w:lvlJc w:val="left"/>
      <w:pPr>
        <w:ind w:left="4606" w:hanging="360"/>
      </w:pPr>
      <w:rPr>
        <w:rFonts w:ascii="Wingdings" w:hAnsi="Wingdings" w:hint="default"/>
      </w:rPr>
    </w:lvl>
    <w:lvl w:ilvl="6" w:tplc="0C0A0001" w:tentative="1">
      <w:start w:val="1"/>
      <w:numFmt w:val="bullet"/>
      <w:lvlText w:val=""/>
      <w:lvlJc w:val="left"/>
      <w:pPr>
        <w:ind w:left="5326" w:hanging="360"/>
      </w:pPr>
      <w:rPr>
        <w:rFonts w:ascii="Symbol" w:hAnsi="Symbol" w:hint="default"/>
      </w:rPr>
    </w:lvl>
    <w:lvl w:ilvl="7" w:tplc="0C0A0003" w:tentative="1">
      <w:start w:val="1"/>
      <w:numFmt w:val="bullet"/>
      <w:lvlText w:val="o"/>
      <w:lvlJc w:val="left"/>
      <w:pPr>
        <w:ind w:left="6046" w:hanging="360"/>
      </w:pPr>
      <w:rPr>
        <w:rFonts w:ascii="Courier New" w:hAnsi="Courier New" w:cs="Courier New" w:hint="default"/>
      </w:rPr>
    </w:lvl>
    <w:lvl w:ilvl="8" w:tplc="0C0A0005" w:tentative="1">
      <w:start w:val="1"/>
      <w:numFmt w:val="bullet"/>
      <w:lvlText w:val=""/>
      <w:lvlJc w:val="left"/>
      <w:pPr>
        <w:ind w:left="6766" w:hanging="360"/>
      </w:pPr>
      <w:rPr>
        <w:rFonts w:ascii="Wingdings" w:hAnsi="Wingdings" w:hint="default"/>
      </w:rPr>
    </w:lvl>
  </w:abstractNum>
  <w:abstractNum w:abstractNumId="1">
    <w:nsid w:val="0887594D"/>
    <w:multiLevelType w:val="hybridMultilevel"/>
    <w:tmpl w:val="7570ADC6"/>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D8F2416"/>
    <w:multiLevelType w:val="hybridMultilevel"/>
    <w:tmpl w:val="1E4EE7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56"/>
    <w:rsid w:val="000821A5"/>
    <w:rsid w:val="00331756"/>
    <w:rsid w:val="00690D5F"/>
    <w:rsid w:val="008829EE"/>
    <w:rsid w:val="00896E56"/>
    <w:rsid w:val="00E3275A"/>
    <w:rsid w:val="00F102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5FAB2-A5DC-4513-94C7-365AF79E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0D5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1639</Words>
  <Characters>9017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dc:creator>
  <cp:keywords/>
  <dc:description/>
  <cp:lastModifiedBy>Meli</cp:lastModifiedBy>
  <cp:revision>4</cp:revision>
  <dcterms:created xsi:type="dcterms:W3CDTF">2019-12-30T15:25:00Z</dcterms:created>
  <dcterms:modified xsi:type="dcterms:W3CDTF">2019-12-30T15:51:00Z</dcterms:modified>
</cp:coreProperties>
</file>