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199" w:type="dxa"/>
        <w:tblInd w:w="-1310" w:type="dxa"/>
        <w:tblLook w:val="04A0"/>
      </w:tblPr>
      <w:tblGrid>
        <w:gridCol w:w="2269"/>
        <w:gridCol w:w="8930"/>
      </w:tblGrid>
      <w:tr w:rsidR="005232E4" w:rsidTr="0004256E">
        <w:tc>
          <w:tcPr>
            <w:tcW w:w="11199" w:type="dxa"/>
            <w:gridSpan w:val="2"/>
            <w:shd w:val="clear" w:color="auto" w:fill="FFFF00"/>
          </w:tcPr>
          <w:p w:rsidR="005232E4" w:rsidRPr="005232E4" w:rsidRDefault="005232E4">
            <w:pPr>
              <w:rPr>
                <w:b/>
              </w:rPr>
            </w:pPr>
          </w:p>
          <w:p w:rsidR="005232E4" w:rsidRPr="005232E4" w:rsidRDefault="005232E4" w:rsidP="005232E4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232E4">
              <w:rPr>
                <w:rFonts w:ascii="Arial" w:hAnsi="Arial" w:cs="Arial"/>
                <w:b/>
                <w:color w:val="0070C0"/>
                <w:sz w:val="28"/>
                <w:szCs w:val="28"/>
              </w:rPr>
              <w:t>FORMACIÓN PRODIG</w:t>
            </w:r>
          </w:p>
        </w:tc>
      </w:tr>
      <w:tr w:rsidR="005232E4" w:rsidTr="0004256E">
        <w:tc>
          <w:tcPr>
            <w:tcW w:w="11199" w:type="dxa"/>
            <w:gridSpan w:val="2"/>
            <w:shd w:val="clear" w:color="auto" w:fill="DAEEF3" w:themeFill="accent5" w:themeFillTint="33"/>
          </w:tcPr>
          <w:p w:rsidR="005232E4" w:rsidRPr="005232E4" w:rsidRDefault="005232E4" w:rsidP="005232E4">
            <w:pPr>
              <w:jc w:val="center"/>
              <w:rPr>
                <w:b/>
                <w:sz w:val="24"/>
                <w:szCs w:val="24"/>
              </w:rPr>
            </w:pPr>
            <w:r w:rsidRPr="005232E4">
              <w:rPr>
                <w:b/>
                <w:sz w:val="24"/>
                <w:szCs w:val="24"/>
              </w:rPr>
              <w:t>APORTACIONES   A  COLABOR@</w:t>
            </w:r>
          </w:p>
        </w:tc>
      </w:tr>
      <w:tr w:rsidR="005232E4" w:rsidRPr="0004256E" w:rsidTr="0004256E">
        <w:tc>
          <w:tcPr>
            <w:tcW w:w="2269" w:type="dxa"/>
          </w:tcPr>
          <w:p w:rsidR="005232E4" w:rsidRDefault="005232E4" w:rsidP="005232E4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AF79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ES"/>
              </w:rPr>
              <w:t>Valoración de las estrategias y recursos utilizados para la integración curricular</w:t>
            </w:r>
          </w:p>
          <w:p w:rsidR="005232E4" w:rsidRPr="005232E4" w:rsidRDefault="005232E4" w:rsidP="005232E4">
            <w:pPr>
              <w:shd w:val="clear" w:color="auto" w:fill="FFFFFF"/>
              <w:spacing w:before="100" w:beforeAutospacing="1" w:after="100" w:afterAutospacing="1"/>
              <w:ind w:left="142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8930" w:type="dxa"/>
          </w:tcPr>
          <w:p w:rsidR="005232E4" w:rsidRPr="0004256E" w:rsidRDefault="005232E4">
            <w:pPr>
              <w:rPr>
                <w:rFonts w:cstheme="minorHAnsi"/>
                <w:sz w:val="6"/>
                <w:szCs w:val="6"/>
              </w:rPr>
            </w:pPr>
          </w:p>
          <w:p w:rsidR="00F92DCA" w:rsidRPr="0004256E" w:rsidRDefault="005232E4" w:rsidP="0004256E">
            <w:pPr>
              <w:rPr>
                <w:rFonts w:cstheme="minorHAnsi"/>
              </w:rPr>
            </w:pPr>
            <w:r w:rsidRPr="0004256E">
              <w:rPr>
                <w:rFonts w:cstheme="minorHAnsi"/>
              </w:rPr>
              <w:t xml:space="preserve"> </w:t>
            </w:r>
            <w:r w:rsidR="00AD24D5" w:rsidRPr="0004256E">
              <w:rPr>
                <w:rFonts w:cstheme="minorHAnsi"/>
              </w:rPr>
              <w:t>Las estrategias para este curso iba</w:t>
            </w:r>
            <w:r w:rsidR="00F92DCA" w:rsidRPr="0004256E">
              <w:rPr>
                <w:rFonts w:cstheme="minorHAnsi"/>
              </w:rPr>
              <w:t xml:space="preserve">n referidas a aspectos muy </w:t>
            </w:r>
            <w:proofErr w:type="gramStart"/>
            <w:r w:rsidR="00F92DCA" w:rsidRPr="0004256E">
              <w:rPr>
                <w:rFonts w:cstheme="minorHAnsi"/>
              </w:rPr>
              <w:t>importantes ,</w:t>
            </w:r>
            <w:proofErr w:type="gramEnd"/>
            <w:r w:rsidR="00F92DCA" w:rsidRPr="0004256E">
              <w:rPr>
                <w:rFonts w:cstheme="minorHAnsi"/>
              </w:rPr>
              <w:t xml:space="preserve"> más aún en estos momentos . Estas iban </w:t>
            </w:r>
            <w:r w:rsidR="0004256E" w:rsidRPr="0004256E">
              <w:rPr>
                <w:rFonts w:cstheme="minorHAnsi"/>
              </w:rPr>
              <w:t>relacionadas</w:t>
            </w:r>
            <w:r w:rsidR="00F92DCA" w:rsidRPr="0004256E">
              <w:rPr>
                <w:rFonts w:cstheme="minorHAnsi"/>
              </w:rPr>
              <w:t xml:space="preserve"> a estos objetivos los cuales valoramos de manera muy </w:t>
            </w:r>
            <w:r w:rsidR="00F92DCA" w:rsidRPr="0004256E">
              <w:rPr>
                <w:rFonts w:cstheme="minorHAnsi"/>
                <w:b/>
              </w:rPr>
              <w:t>POSITIVA</w:t>
            </w:r>
            <w:r w:rsidR="00F92DCA" w:rsidRPr="0004256E">
              <w:rPr>
                <w:rFonts w:cstheme="minorHAnsi"/>
              </w:rPr>
              <w:t>:</w:t>
            </w:r>
          </w:p>
          <w:p w:rsidR="00F92DCA" w:rsidRPr="0004256E" w:rsidRDefault="00F92DCA" w:rsidP="00F92DCA">
            <w:pPr>
              <w:pStyle w:val="Standard"/>
              <w:numPr>
                <w:ilvl w:val="0"/>
                <w:numId w:val="6"/>
              </w:numPr>
              <w:ind w:left="90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56E">
              <w:rPr>
                <w:rFonts w:asciiTheme="minorHAnsi" w:hAnsiTheme="minorHAnsi" w:cstheme="minorHAnsi"/>
                <w:b/>
                <w:sz w:val="22"/>
                <w:szCs w:val="22"/>
              </w:rPr>
              <w:t>Procesos de enseñanza aprendizaje.</w:t>
            </w:r>
          </w:p>
          <w:p w:rsidR="00F92DCA" w:rsidRPr="0004256E" w:rsidRDefault="00F92DCA" w:rsidP="00F92DCA">
            <w:pPr>
              <w:pStyle w:val="Standard"/>
              <w:ind w:left="90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92DCA" w:rsidRPr="0004256E" w:rsidRDefault="00F92DCA" w:rsidP="00F92DCA">
            <w:pPr>
              <w:pStyle w:val="Standard"/>
              <w:ind w:left="900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56E">
              <w:rPr>
                <w:rFonts w:asciiTheme="minorHAnsi" w:hAnsiTheme="minorHAnsi" w:cstheme="minorHAnsi"/>
                <w:sz w:val="22"/>
                <w:szCs w:val="22"/>
              </w:rPr>
              <w:t xml:space="preserve">1. Utilizar las TIC como herramienta vertebral de las nuevas metodologías activas (aprendizaje cooperativo, ABP, presentaciones con nuevas tecnologías y aplicaciones, </w:t>
            </w:r>
            <w:proofErr w:type="spellStart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…) que se están implantando en nuestro centro.</w:t>
            </w:r>
          </w:p>
          <w:p w:rsidR="00F92DCA" w:rsidRPr="0004256E" w:rsidRDefault="00F92DCA" w:rsidP="00F92DCA">
            <w:pPr>
              <w:pStyle w:val="Standard"/>
              <w:ind w:left="900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56E">
              <w:rPr>
                <w:rFonts w:asciiTheme="minorHAnsi" w:hAnsiTheme="minorHAnsi" w:cstheme="minorHAnsi"/>
                <w:sz w:val="22"/>
                <w:szCs w:val="22"/>
              </w:rPr>
              <w:t xml:space="preserve">2. Formación  progresiva del profesorado en metodologías activas relacionadas con APP y contenidos de </w:t>
            </w:r>
            <w:proofErr w:type="spellStart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videocreación</w:t>
            </w:r>
            <w:proofErr w:type="spellEnd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92DCA" w:rsidRPr="0004256E" w:rsidRDefault="00F92DCA" w:rsidP="0004256E">
            <w:pPr>
              <w:jc w:val="both"/>
              <w:rPr>
                <w:rFonts w:cstheme="minorHAnsi"/>
                <w:sz w:val="8"/>
                <w:szCs w:val="8"/>
              </w:rPr>
            </w:pPr>
          </w:p>
          <w:p w:rsidR="00F92DCA" w:rsidRPr="0004256E" w:rsidRDefault="00F92DCA" w:rsidP="00F92DCA">
            <w:pPr>
              <w:pStyle w:val="Standard"/>
              <w:numPr>
                <w:ilvl w:val="0"/>
                <w:numId w:val="3"/>
              </w:numPr>
              <w:ind w:left="90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56E">
              <w:rPr>
                <w:rFonts w:asciiTheme="minorHAnsi" w:hAnsiTheme="minorHAnsi" w:cstheme="minorHAnsi"/>
                <w:b/>
                <w:sz w:val="22"/>
                <w:szCs w:val="22"/>
              </w:rPr>
              <w:t>Organización del centro.</w:t>
            </w:r>
          </w:p>
          <w:p w:rsidR="00F92DCA" w:rsidRPr="0004256E" w:rsidRDefault="00F92DCA" w:rsidP="00F92DCA">
            <w:pPr>
              <w:pStyle w:val="Standard"/>
              <w:ind w:left="90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92DCA" w:rsidRPr="0004256E" w:rsidRDefault="00F92DCA" w:rsidP="00F92DCA">
            <w:pPr>
              <w:pStyle w:val="Prrafodelista"/>
              <w:numPr>
                <w:ilvl w:val="0"/>
                <w:numId w:val="7"/>
              </w:numPr>
              <w:ind w:left="9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Afianzar la integración de SÉNECA como eje principal en el trabajo cotidiano y de organización de nuestro centro a nivel de profesorado.</w:t>
            </w:r>
          </w:p>
          <w:p w:rsidR="00F92DCA" w:rsidRPr="0004256E" w:rsidRDefault="00F92DCA" w:rsidP="00F92DCA">
            <w:pPr>
              <w:pStyle w:val="Prrafodelista"/>
              <w:numPr>
                <w:ilvl w:val="0"/>
                <w:numId w:val="4"/>
              </w:numPr>
              <w:ind w:left="9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Utilizar aulas virtuales (</w:t>
            </w:r>
            <w:proofErr w:type="spellStart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edmodo</w:t>
            </w:r>
            <w:proofErr w:type="spellEnd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 xml:space="preserve">) y alojamientos en nube digital </w:t>
            </w:r>
            <w:proofErr w:type="gramStart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( como</w:t>
            </w:r>
            <w:proofErr w:type="gramEnd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 xml:space="preserve"> puede ser </w:t>
            </w:r>
            <w:proofErr w:type="spellStart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proofErr w:type="spellEnd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 xml:space="preserve"> suite, drive, </w:t>
            </w:r>
            <w:proofErr w:type="spellStart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dropbox</w:t>
            </w:r>
            <w:proofErr w:type="spellEnd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…) para el trabajo cotidiano del profesorado y coordinación entre equipos docentes y de ciclo.</w:t>
            </w:r>
          </w:p>
          <w:p w:rsidR="00F92DCA" w:rsidRPr="0004256E" w:rsidRDefault="00F92DCA" w:rsidP="00F92DCA">
            <w:pPr>
              <w:pStyle w:val="Prrafodelista"/>
              <w:numPr>
                <w:ilvl w:val="0"/>
                <w:numId w:val="4"/>
              </w:numPr>
              <w:ind w:left="9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56E">
              <w:rPr>
                <w:rFonts w:asciiTheme="minorHAnsi" w:hAnsiTheme="minorHAnsi" w:cstheme="minorHAnsi"/>
                <w:sz w:val="22"/>
                <w:szCs w:val="22"/>
              </w:rPr>
              <w:t>Crear un espacio TIC en cada aula.</w:t>
            </w:r>
          </w:p>
          <w:p w:rsidR="00F92DCA" w:rsidRPr="0004256E" w:rsidRDefault="00F92DCA" w:rsidP="00F92DCA">
            <w:pPr>
              <w:pStyle w:val="Prrafodelista"/>
              <w:ind w:left="900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92DCA" w:rsidRPr="0004256E" w:rsidRDefault="00F92DCA" w:rsidP="00F92DCA">
            <w:pPr>
              <w:pStyle w:val="Standard"/>
              <w:numPr>
                <w:ilvl w:val="0"/>
                <w:numId w:val="3"/>
              </w:numPr>
              <w:ind w:left="90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256E">
              <w:rPr>
                <w:rFonts w:asciiTheme="minorHAnsi" w:hAnsiTheme="minorHAnsi" w:cstheme="minorHAnsi"/>
                <w:b/>
                <w:sz w:val="22"/>
                <w:szCs w:val="22"/>
              </w:rPr>
              <w:t>Procesos de información y comunicación.</w:t>
            </w:r>
          </w:p>
          <w:p w:rsidR="00F92DCA" w:rsidRPr="0004256E" w:rsidRDefault="00F92DCA" w:rsidP="00F92DCA">
            <w:pPr>
              <w:pStyle w:val="Prrafodelista"/>
              <w:ind w:left="9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256E" w:rsidRDefault="00F92DCA" w:rsidP="0004256E">
            <w:pPr>
              <w:pStyle w:val="Prrafodelista"/>
              <w:numPr>
                <w:ilvl w:val="0"/>
                <w:numId w:val="8"/>
              </w:numPr>
              <w:ind w:left="8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256E">
              <w:rPr>
                <w:rFonts w:asciiTheme="minorHAnsi" w:hAnsiTheme="minorHAnsi" w:cstheme="minorHAnsi"/>
                <w:sz w:val="22"/>
                <w:szCs w:val="22"/>
              </w:rPr>
              <w:t xml:space="preserve">Integrar PASEN como eje principal en la comunicación de nuestro centro con la comunidad educativa. </w:t>
            </w:r>
          </w:p>
          <w:p w:rsidR="0004256E" w:rsidRDefault="0004256E" w:rsidP="0004256E">
            <w:pPr>
              <w:jc w:val="both"/>
              <w:rPr>
                <w:rFonts w:cstheme="minorHAnsi"/>
              </w:rPr>
            </w:pPr>
          </w:p>
          <w:p w:rsidR="0004256E" w:rsidRPr="0004256E" w:rsidRDefault="0004256E" w:rsidP="000425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nivel de recursos, decir que actualmente son precarios</w:t>
            </w:r>
            <w:r w:rsidR="00A439B1">
              <w:rPr>
                <w:rFonts w:cstheme="minorHAnsi"/>
              </w:rPr>
              <w:t xml:space="preserve"> los que podríamos llamar físicos</w:t>
            </w:r>
            <w:r w:rsidR="00251DB2">
              <w:rPr>
                <w:rFonts w:cstheme="minorHAnsi"/>
              </w:rPr>
              <w:t xml:space="preserve">               </w:t>
            </w:r>
            <w:proofErr w:type="gramStart"/>
            <w:r w:rsidR="00A439B1">
              <w:rPr>
                <w:rFonts w:cstheme="minorHAnsi"/>
              </w:rPr>
              <w:t>( pizarras</w:t>
            </w:r>
            <w:proofErr w:type="gramEnd"/>
            <w:r w:rsidR="00A439B1">
              <w:rPr>
                <w:rFonts w:cstheme="minorHAnsi"/>
              </w:rPr>
              <w:t xml:space="preserve"> digitales, portátiles…</w:t>
            </w:r>
            <w:r w:rsidR="00251DB2">
              <w:rPr>
                <w:rFonts w:cstheme="minorHAnsi"/>
              </w:rPr>
              <w:t xml:space="preserve">). Pero se han creado recurso que en este confinamiento han sido básicos: Nuevo dominio del cole a través de </w:t>
            </w:r>
            <w:proofErr w:type="spellStart"/>
            <w:r w:rsidR="00251DB2">
              <w:rPr>
                <w:rFonts w:cstheme="minorHAnsi"/>
              </w:rPr>
              <w:t>GSuites</w:t>
            </w:r>
            <w:proofErr w:type="spellEnd"/>
            <w:r w:rsidR="00251DB2">
              <w:rPr>
                <w:rFonts w:cstheme="minorHAnsi"/>
              </w:rPr>
              <w:t xml:space="preserve"> y la herramienta Google </w:t>
            </w:r>
            <w:proofErr w:type="spellStart"/>
            <w:r w:rsidR="00251DB2">
              <w:rPr>
                <w:rFonts w:cstheme="minorHAnsi"/>
              </w:rPr>
              <w:t>Classroom</w:t>
            </w:r>
            <w:proofErr w:type="spellEnd"/>
            <w:r w:rsidR="00251DB2">
              <w:rPr>
                <w:rFonts w:cstheme="minorHAnsi"/>
              </w:rPr>
              <w:t>.</w:t>
            </w:r>
          </w:p>
          <w:p w:rsidR="00F92DCA" w:rsidRPr="0004256E" w:rsidRDefault="00F92DCA" w:rsidP="0004256E">
            <w:pPr>
              <w:pStyle w:val="Prrafodelista"/>
              <w:ind w:left="884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232E4" w:rsidTr="0004256E">
        <w:tc>
          <w:tcPr>
            <w:tcW w:w="2269" w:type="dxa"/>
          </w:tcPr>
          <w:p w:rsidR="005232E4" w:rsidRDefault="005232E4" w:rsidP="00FA5213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AF79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ES"/>
              </w:rPr>
              <w:t>Impacto de las actuaciones formativas en el desarrollo del programa y en la mejora del alumnado</w:t>
            </w:r>
          </w:p>
          <w:p w:rsidR="00FA5213" w:rsidRPr="00FA5213" w:rsidRDefault="00FA5213" w:rsidP="00FA5213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ascii="Arial" w:eastAsia="Times New Roman" w:hAnsi="Arial" w:cs="Arial"/>
                <w:color w:val="222222"/>
                <w:sz w:val="6"/>
                <w:szCs w:val="6"/>
                <w:lang w:eastAsia="es-ES"/>
              </w:rPr>
            </w:pPr>
          </w:p>
        </w:tc>
        <w:tc>
          <w:tcPr>
            <w:tcW w:w="8930" w:type="dxa"/>
          </w:tcPr>
          <w:p w:rsidR="005232E4" w:rsidRDefault="005232E4"/>
          <w:p w:rsidR="00251DB2" w:rsidRDefault="00251DB2">
            <w:r>
              <w:t xml:space="preserve">El periodo de confinamiento ha hecho que el impacto de Google </w:t>
            </w:r>
            <w:proofErr w:type="spellStart"/>
            <w:r>
              <w:t>Classroom</w:t>
            </w:r>
            <w:proofErr w:type="spellEnd"/>
            <w:r>
              <w:t xml:space="preserve"> haya tomado aún más importancia en nuestro alumnado </w:t>
            </w:r>
            <w:proofErr w:type="gramStart"/>
            <w:r>
              <w:t>y ,</w:t>
            </w:r>
            <w:proofErr w:type="gramEnd"/>
            <w:r>
              <w:t xml:space="preserve"> por supuesto, en nuestro profesorado</w:t>
            </w:r>
            <w:r w:rsidR="00FA5213">
              <w:t xml:space="preserve">. El que nos hayamos comprado un dominio </w:t>
            </w:r>
            <w:proofErr w:type="spellStart"/>
            <w:r w:rsidR="00FA5213">
              <w:t>GSuites</w:t>
            </w:r>
            <w:proofErr w:type="spellEnd"/>
            <w:r w:rsidR="00FA5213">
              <w:t xml:space="preserve"> para que el alumnado tenga su correo personal también será una mejora.</w:t>
            </w:r>
          </w:p>
        </w:tc>
      </w:tr>
      <w:tr w:rsidR="005232E4" w:rsidTr="0004256E">
        <w:tc>
          <w:tcPr>
            <w:tcW w:w="2269" w:type="dxa"/>
          </w:tcPr>
          <w:p w:rsidR="005232E4" w:rsidRPr="0080178D" w:rsidRDefault="005232E4" w:rsidP="0080178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AF79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ES"/>
              </w:rPr>
              <w:t>Productos, evidencias de integración curricular, que se han generado en el aula y en el centro</w:t>
            </w:r>
          </w:p>
        </w:tc>
        <w:tc>
          <w:tcPr>
            <w:tcW w:w="8930" w:type="dxa"/>
          </w:tcPr>
          <w:p w:rsidR="005232E4" w:rsidRPr="00FA5213" w:rsidRDefault="00FA5213">
            <w:pPr>
              <w:rPr>
                <w:rFonts w:cstheme="minorHAnsi"/>
              </w:rPr>
            </w:pPr>
            <w:r w:rsidRPr="00FA5213">
              <w:rPr>
                <w:rFonts w:cstheme="minorHAnsi"/>
              </w:rPr>
              <w:t xml:space="preserve"> </w:t>
            </w:r>
          </w:p>
          <w:p w:rsidR="00FA5213" w:rsidRDefault="00FA5213" w:rsidP="00FA521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5213">
              <w:rPr>
                <w:rFonts w:asciiTheme="minorHAnsi" w:hAnsiTheme="minorHAnsi" w:cstheme="minorHAnsi"/>
                <w:sz w:val="22"/>
                <w:szCs w:val="22"/>
              </w:rPr>
              <w:t>Todas las tareas realizad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a través de Google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Classroom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los diferentes cursos.</w:t>
            </w:r>
          </w:p>
          <w:p w:rsidR="00FA5213" w:rsidRDefault="00FA5213" w:rsidP="00FA521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Las actividades creadas en el cuaderno del maestro.</w:t>
            </w:r>
          </w:p>
          <w:p w:rsidR="00FA5213" w:rsidRDefault="00FA5213" w:rsidP="00FA521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uso de la videoconferencia como recurso  para poder conectar con el alumnado y con el profesorado.</w:t>
            </w:r>
          </w:p>
          <w:p w:rsidR="00FA5213" w:rsidRPr="00FA5213" w:rsidRDefault="00FA5213" w:rsidP="00FA521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Plantear banco de recursos para la Pizarra Digital Interactiva.</w:t>
            </w:r>
          </w:p>
          <w:p w:rsidR="00FA5213" w:rsidRDefault="00FA5213" w:rsidP="00FA521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Tutorías por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Ipasen</w:t>
            </w:r>
            <w:proofErr w:type="spellEnd"/>
          </w:p>
          <w:p w:rsidR="00FA5213" w:rsidRPr="00FA5213" w:rsidRDefault="00FA5213" w:rsidP="00FA5213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Puesta en valor de la cuenta DRIVE del centro</w:t>
            </w:r>
            <w:r w:rsidR="008017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232E4" w:rsidTr="0004256E">
        <w:tc>
          <w:tcPr>
            <w:tcW w:w="2269" w:type="dxa"/>
          </w:tcPr>
          <w:p w:rsidR="005232E4" w:rsidRPr="00AF79E5" w:rsidRDefault="005232E4" w:rsidP="005232E4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AF79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ES"/>
              </w:rPr>
              <w:t>Grado de implicación de los participantes en la formación</w:t>
            </w:r>
          </w:p>
          <w:p w:rsidR="005232E4" w:rsidRDefault="005232E4"/>
        </w:tc>
        <w:tc>
          <w:tcPr>
            <w:tcW w:w="8930" w:type="dxa"/>
          </w:tcPr>
          <w:p w:rsidR="005232E4" w:rsidRDefault="005232E4"/>
          <w:p w:rsidR="0080178D" w:rsidRDefault="0080178D">
            <w:r>
              <w:t xml:space="preserve">   La implicación del profesorado ha sido del 100 % en la asistencia a las formaciones. En cuanto al cuaderno del maestro se ha conseguido que todo el claustro lo use de forma habitual. Esto se puede hacer extensivo al uso de </w:t>
            </w:r>
            <w:proofErr w:type="spellStart"/>
            <w:proofErr w:type="gramStart"/>
            <w:r>
              <w:t>ISéneca</w:t>
            </w:r>
            <w:proofErr w:type="spellEnd"/>
            <w:r>
              <w:t>(</w:t>
            </w:r>
            <w:proofErr w:type="gramEnd"/>
            <w:r>
              <w:t xml:space="preserve"> tutorías, autorizaciones…). </w:t>
            </w:r>
          </w:p>
          <w:p w:rsidR="0080178D" w:rsidRDefault="0080178D"/>
          <w:p w:rsidR="0080178D" w:rsidRDefault="0080178D">
            <w:r>
              <w:t xml:space="preserve">     En cuanto al uso de la pizarra digital, el uso ha sido más complicado, tanto por la precariedad de los medios como por </w:t>
            </w:r>
            <w:r w:rsidR="00BD2B7B">
              <w:t>la falta de tiempo.</w:t>
            </w:r>
          </w:p>
          <w:p w:rsidR="00BD2B7B" w:rsidRDefault="00BD2B7B"/>
        </w:tc>
      </w:tr>
      <w:tr w:rsidR="005232E4" w:rsidTr="0004256E">
        <w:tc>
          <w:tcPr>
            <w:tcW w:w="2269" w:type="dxa"/>
            <w:shd w:val="clear" w:color="auto" w:fill="DAEEF3" w:themeFill="accent5" w:themeFillTint="33"/>
          </w:tcPr>
          <w:p w:rsidR="005232E4" w:rsidRPr="005232E4" w:rsidRDefault="005232E4" w:rsidP="005232E4">
            <w:pPr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AEEF3" w:themeFill="accent5" w:themeFillTint="33"/>
          </w:tcPr>
          <w:p w:rsidR="005232E4" w:rsidRPr="005232E4" w:rsidRDefault="005232E4" w:rsidP="005232E4">
            <w:pPr>
              <w:jc w:val="center"/>
              <w:rPr>
                <w:b/>
              </w:rPr>
            </w:pPr>
            <w:r w:rsidRPr="005232E4">
              <w:rPr>
                <w:b/>
              </w:rPr>
              <w:t>APORTACIONES A LA MEMORIA</w:t>
            </w:r>
          </w:p>
        </w:tc>
      </w:tr>
      <w:tr w:rsidR="005232E4" w:rsidTr="0004256E">
        <w:tc>
          <w:tcPr>
            <w:tcW w:w="2269" w:type="dxa"/>
          </w:tcPr>
          <w:p w:rsidR="005232E4" w:rsidRPr="00AF79E5" w:rsidRDefault="005232E4" w:rsidP="005232E4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AF79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ES"/>
              </w:rPr>
              <w:t>Principales resultados obtenidos</w:t>
            </w:r>
          </w:p>
          <w:p w:rsidR="005232E4" w:rsidRDefault="005232E4"/>
        </w:tc>
        <w:tc>
          <w:tcPr>
            <w:tcW w:w="8930" w:type="dxa"/>
          </w:tcPr>
          <w:p w:rsidR="005232E4" w:rsidRDefault="005232E4"/>
          <w:p w:rsidR="00BD2B7B" w:rsidRDefault="00BD2B7B">
            <w:r>
              <w:t>-Creación del dominio @ceipprinfe.org.</w:t>
            </w:r>
          </w:p>
          <w:p w:rsidR="00BD2B7B" w:rsidRDefault="00BD2B7B">
            <w:r>
              <w:t xml:space="preserve">-Correos </w:t>
            </w:r>
            <w:proofErr w:type="spellStart"/>
            <w:r>
              <w:t>gsuites</w:t>
            </w:r>
            <w:proofErr w:type="spellEnd"/>
            <w:r>
              <w:t>.</w:t>
            </w:r>
          </w:p>
          <w:p w:rsidR="00BD2B7B" w:rsidRDefault="00BD2B7B">
            <w:r>
              <w:t xml:space="preserve">- Google </w:t>
            </w:r>
            <w:proofErr w:type="spellStart"/>
            <w:r>
              <w:t>Classroom</w:t>
            </w:r>
            <w:proofErr w:type="spellEnd"/>
          </w:p>
          <w:p w:rsidR="00BD2B7B" w:rsidRDefault="00BD2B7B">
            <w:r>
              <w:t>- Total implicación con el cuaderno del maestro.</w:t>
            </w:r>
          </w:p>
          <w:p w:rsidR="00BD2B7B" w:rsidRDefault="00BD2B7B">
            <w:r>
              <w:t>- Puesta en valor del Séneca más allá del ser un medio de poner notas o ausencias.</w:t>
            </w:r>
          </w:p>
        </w:tc>
      </w:tr>
      <w:tr w:rsidR="005232E4" w:rsidTr="0004256E">
        <w:tc>
          <w:tcPr>
            <w:tcW w:w="2269" w:type="dxa"/>
          </w:tcPr>
          <w:p w:rsidR="005232E4" w:rsidRPr="00AF79E5" w:rsidRDefault="005232E4" w:rsidP="005232E4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AF79E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ES"/>
              </w:rPr>
              <w:t>Actuaciones más significativas</w:t>
            </w:r>
          </w:p>
          <w:p w:rsidR="005232E4" w:rsidRDefault="005232E4"/>
        </w:tc>
        <w:tc>
          <w:tcPr>
            <w:tcW w:w="8930" w:type="dxa"/>
          </w:tcPr>
          <w:p w:rsidR="00BD2B7B" w:rsidRDefault="00BD2B7B" w:rsidP="00BD2B7B">
            <w:r>
              <w:t>-Creación del dominio @ceipprinfe.org.</w:t>
            </w:r>
          </w:p>
          <w:p w:rsidR="00BD2B7B" w:rsidRDefault="00BD2B7B" w:rsidP="00BD2B7B">
            <w:r>
              <w:t xml:space="preserve">-Correos </w:t>
            </w:r>
            <w:proofErr w:type="spellStart"/>
            <w:r>
              <w:t>gsuites</w:t>
            </w:r>
            <w:proofErr w:type="spellEnd"/>
            <w:r>
              <w:t>.</w:t>
            </w:r>
          </w:p>
          <w:p w:rsidR="00BD2B7B" w:rsidRDefault="00BD2B7B" w:rsidP="00BD2B7B">
            <w:r>
              <w:t xml:space="preserve">- Google </w:t>
            </w:r>
            <w:proofErr w:type="spellStart"/>
            <w:r>
              <w:t>Classroom</w:t>
            </w:r>
            <w:proofErr w:type="spellEnd"/>
          </w:p>
          <w:p w:rsidR="005232E4" w:rsidRDefault="00BD2B7B">
            <w:r>
              <w:t>- Uso de aplicaciones para la PDI</w:t>
            </w:r>
            <w:r w:rsidR="00712EAF">
              <w:t>.</w:t>
            </w:r>
          </w:p>
          <w:p w:rsidR="00712EAF" w:rsidRDefault="00712EAF">
            <w:r>
              <w:t>- Uso del DRIVE del centro.</w:t>
            </w:r>
          </w:p>
        </w:tc>
      </w:tr>
    </w:tbl>
    <w:p w:rsidR="005232E4" w:rsidRDefault="005232E4"/>
    <w:p w:rsidR="005232E4" w:rsidRDefault="005232E4"/>
    <w:p w:rsidR="005232E4" w:rsidRDefault="005232E4"/>
    <w:sectPr w:rsidR="005232E4" w:rsidSect="005F2E0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26A2"/>
    <w:multiLevelType w:val="hybridMultilevel"/>
    <w:tmpl w:val="FBE4F4A0"/>
    <w:lvl w:ilvl="0" w:tplc="EC7AAA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6F1145D"/>
    <w:multiLevelType w:val="multilevel"/>
    <w:tmpl w:val="ED8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A0539"/>
    <w:multiLevelType w:val="multilevel"/>
    <w:tmpl w:val="15C202CC"/>
    <w:styleLink w:val="WWNum1"/>
    <w:lvl w:ilvl="0">
      <w:start w:val="1"/>
      <w:numFmt w:val="lowerLetter"/>
      <w:lvlText w:val="%1.-"/>
      <w:lvlJc w:val="left"/>
      <w:pPr>
        <w:ind w:left="1440" w:hanging="360"/>
      </w:p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">
    <w:nsid w:val="572575C1"/>
    <w:multiLevelType w:val="hybridMultilevel"/>
    <w:tmpl w:val="967819F0"/>
    <w:lvl w:ilvl="0" w:tplc="2EEA1308">
      <w:start w:val="2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0817D74"/>
    <w:multiLevelType w:val="multilevel"/>
    <w:tmpl w:val="23BC2F96"/>
    <w:styleLink w:val="WWNum12"/>
    <w:lvl w:ilvl="0">
      <w:start w:val="1"/>
      <w:numFmt w:val="decimal"/>
      <w:lvlText w:val="%1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">
    <w:nsid w:val="755F04E2"/>
    <w:multiLevelType w:val="multilevel"/>
    <w:tmpl w:val="0310DD5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2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-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78DB4670"/>
    <w:multiLevelType w:val="multilevel"/>
    <w:tmpl w:val="FCE2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32E4"/>
    <w:rsid w:val="0004256E"/>
    <w:rsid w:val="00251DB2"/>
    <w:rsid w:val="005232E4"/>
    <w:rsid w:val="005F2E08"/>
    <w:rsid w:val="00712EAF"/>
    <w:rsid w:val="0080178D"/>
    <w:rsid w:val="00A14399"/>
    <w:rsid w:val="00A32356"/>
    <w:rsid w:val="00A439B1"/>
    <w:rsid w:val="00AD24D5"/>
    <w:rsid w:val="00B54020"/>
    <w:rsid w:val="00BD2B7B"/>
    <w:rsid w:val="00F92DCA"/>
    <w:rsid w:val="00FA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92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F92DCA"/>
    <w:pPr>
      <w:ind w:left="720"/>
    </w:pPr>
  </w:style>
  <w:style w:type="numbering" w:customStyle="1" w:styleId="WWNum1">
    <w:name w:val="WWNum1"/>
    <w:basedOn w:val="Sinlista"/>
    <w:rsid w:val="00F92DCA"/>
    <w:pPr>
      <w:numPr>
        <w:numId w:val="3"/>
      </w:numPr>
    </w:pPr>
  </w:style>
  <w:style w:type="numbering" w:customStyle="1" w:styleId="WWNum12">
    <w:name w:val="WWNum12"/>
    <w:basedOn w:val="Sinlista"/>
    <w:rsid w:val="00F92DCA"/>
    <w:pPr>
      <w:numPr>
        <w:numId w:val="4"/>
      </w:numPr>
    </w:pPr>
  </w:style>
  <w:style w:type="numbering" w:customStyle="1" w:styleId="WWNum11">
    <w:name w:val="WWNum11"/>
    <w:basedOn w:val="Sinlista"/>
    <w:rsid w:val="00F92DC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2020-05-20T13:53:00Z</dcterms:created>
  <dcterms:modified xsi:type="dcterms:W3CDTF">2020-05-20T16:04:00Z</dcterms:modified>
</cp:coreProperties>
</file>