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E5" w:rsidRPr="003B51E5" w:rsidRDefault="003B51E5" w:rsidP="003B51E5">
      <w:pPr>
        <w:spacing w:before="150" w:after="0" w:line="600" w:lineRule="atLeast"/>
        <w:outlineLvl w:val="0"/>
        <w:rPr>
          <w:rFonts w:eastAsia="Times New Roman" w:cstheme="minorHAnsi"/>
          <w:color w:val="333333"/>
          <w:kern w:val="36"/>
          <w:sz w:val="36"/>
          <w:szCs w:val="36"/>
          <w:lang w:eastAsia="es-ES"/>
        </w:rPr>
      </w:pPr>
      <w:r w:rsidRPr="003B51E5">
        <w:rPr>
          <w:rFonts w:eastAsia="Times New Roman" w:cstheme="minorHAnsi"/>
          <w:color w:val="333333"/>
          <w:kern w:val="36"/>
          <w:sz w:val="36"/>
          <w:szCs w:val="36"/>
          <w:lang w:eastAsia="es-ES"/>
        </w:rPr>
        <w:t>Los estándares de aprendizaje y los criterios de evaluación</w:t>
      </w:r>
    </w:p>
    <w:p w:rsidR="003B51E5" w:rsidRPr="003B51E5" w:rsidRDefault="003B51E5" w:rsidP="003B51E5">
      <w:pPr>
        <w:spacing w:before="300" w:after="300" w:line="240" w:lineRule="auto"/>
        <w:rPr>
          <w:rFonts w:ascii="Times New Roman" w:eastAsia="Times New Roman" w:hAnsi="Times New Roman" w:cs="Times New Roman"/>
          <w:sz w:val="24"/>
          <w:szCs w:val="24"/>
          <w:lang w:eastAsia="es-ES"/>
        </w:rPr>
      </w:pPr>
      <w:r w:rsidRPr="003B51E5">
        <w:rPr>
          <w:rFonts w:eastAsia="Times New Roman" w:cstheme="minorHAnsi"/>
          <w:sz w:val="36"/>
          <w:szCs w:val="36"/>
          <w:lang w:eastAsia="es-ES"/>
        </w:rPr>
        <w:pict>
          <v:rect id="_x0000_i1025" style="width:0;height:1.5pt" o:hralign="center" o:hrstd="t" o:hrnoshade="t" o:hr="t" fillcolor="#333" stroked="f"/>
        </w:pict>
      </w:r>
    </w:p>
    <w:p w:rsidR="003B51E5" w:rsidRPr="003B51E5" w:rsidRDefault="003B51E5" w:rsidP="003B51E5">
      <w:pPr>
        <w:spacing w:after="300" w:line="240" w:lineRule="auto"/>
        <w:jc w:val="both"/>
        <w:rPr>
          <w:rFonts w:ascii="Asap" w:eastAsia="Times New Roman" w:hAnsi="Asap" w:cs="Times New Roman"/>
          <w:color w:val="333333"/>
          <w:sz w:val="18"/>
          <w:szCs w:val="18"/>
          <w:lang w:eastAsia="es-ES"/>
        </w:rPr>
      </w:pPr>
      <w:r w:rsidRPr="003B51E5">
        <w:rPr>
          <w:rFonts w:ascii="Asap" w:eastAsia="Times New Roman" w:hAnsi="Asap" w:cs="Times New Roman"/>
          <w:i/>
          <w:iCs/>
          <w:color w:val="333333"/>
          <w:sz w:val="18"/>
          <w:szCs w:val="18"/>
          <w:lang w:eastAsia="es-ES"/>
        </w:rPr>
        <w:t>El currículo LOMCE presenta unos nuevos elementos denominados “estándares de aprendizaje”. Su incorporación ha creado cierta confusión y muchos profesores nos hemos preguntado cuál es exactamente la diferencia entre éstos y los criterios de evaluación. En este post intentamos reflexionar acerca de ello tomando como referencia un </w:t>
      </w:r>
      <w:hyperlink r:id="rId6" w:tooltip="Revisión del RD de primaria" w:history="1">
        <w:r w:rsidRPr="003B51E5">
          <w:rPr>
            <w:rFonts w:ascii="Asap" w:eastAsia="Times New Roman" w:hAnsi="Asap" w:cs="Times New Roman"/>
            <w:i/>
            <w:iCs/>
            <w:color w:val="0077B7"/>
            <w:sz w:val="18"/>
            <w:szCs w:val="18"/>
            <w:lang w:eastAsia="es-ES"/>
          </w:rPr>
          <w:t>artículo monográfico del blog de Fernando Trujillo</w:t>
        </w:r>
      </w:hyperlink>
      <w:r w:rsidRPr="003B51E5">
        <w:rPr>
          <w:rFonts w:ascii="Asap" w:eastAsia="Times New Roman" w:hAnsi="Asap" w:cs="Times New Roman"/>
          <w:i/>
          <w:iCs/>
          <w:color w:val="333333"/>
          <w:sz w:val="18"/>
          <w:szCs w:val="18"/>
          <w:lang w:eastAsia="es-ES"/>
        </w:rPr>
        <w:t>. Excepcional artículo y excepcional blog, por cierto.</w:t>
      </w:r>
    </w:p>
    <w:p w:rsidR="003B51E5" w:rsidRPr="003B51E5" w:rsidRDefault="003B51E5" w:rsidP="003B51E5">
      <w:pPr>
        <w:spacing w:after="300" w:line="240" w:lineRule="auto"/>
        <w:jc w:val="both"/>
        <w:rPr>
          <w:rFonts w:ascii="Asap" w:eastAsia="Times New Roman" w:hAnsi="Asap" w:cs="Times New Roman"/>
          <w:color w:val="333333"/>
          <w:sz w:val="18"/>
          <w:szCs w:val="18"/>
          <w:lang w:eastAsia="es-ES"/>
        </w:rPr>
      </w:pPr>
      <w:r w:rsidRPr="003B51E5">
        <w:rPr>
          <w:rFonts w:ascii="Asap" w:eastAsia="Times New Roman" w:hAnsi="Asap" w:cs="Times New Roman"/>
          <w:b/>
          <w:bCs/>
          <w:color w:val="333333"/>
          <w:sz w:val="18"/>
          <w:szCs w:val="18"/>
          <w:lang w:eastAsia="es-ES"/>
        </w:rPr>
        <w:t>¿Qué son los </w:t>
      </w:r>
      <w:r w:rsidRPr="003B51E5">
        <w:rPr>
          <w:rFonts w:ascii="Asap" w:eastAsia="Times New Roman" w:hAnsi="Asap" w:cs="Times New Roman"/>
          <w:b/>
          <w:bCs/>
          <w:i/>
          <w:iCs/>
          <w:color w:val="333333"/>
          <w:sz w:val="18"/>
          <w:szCs w:val="18"/>
          <w:lang w:eastAsia="es-ES"/>
        </w:rPr>
        <w:t>estándares de aprendizaje</w:t>
      </w:r>
      <w:r w:rsidRPr="003B51E5">
        <w:rPr>
          <w:rFonts w:ascii="Asap" w:eastAsia="Times New Roman" w:hAnsi="Asap" w:cs="Times New Roman"/>
          <w:b/>
          <w:bCs/>
          <w:color w:val="333333"/>
          <w:sz w:val="18"/>
          <w:szCs w:val="18"/>
          <w:lang w:eastAsia="es-ES"/>
        </w:rPr>
        <w:t>?</w:t>
      </w:r>
      <w:bookmarkStart w:id="0" w:name="_GoBack"/>
      <w:bookmarkEnd w:id="0"/>
    </w:p>
    <w:p w:rsidR="003B51E5" w:rsidRPr="003B51E5" w:rsidRDefault="003B51E5" w:rsidP="003B51E5">
      <w:pPr>
        <w:spacing w:after="300" w:line="240" w:lineRule="auto"/>
        <w:jc w:val="both"/>
        <w:rPr>
          <w:rFonts w:ascii="Times New Roman" w:eastAsia="Times New Roman" w:hAnsi="Times New Roman" w:cs="Times New Roman"/>
          <w:color w:val="333333"/>
          <w:sz w:val="18"/>
          <w:szCs w:val="18"/>
          <w:lang w:eastAsia="es-ES"/>
        </w:rPr>
      </w:pPr>
      <w:r w:rsidRPr="003B51E5">
        <w:rPr>
          <w:rFonts w:ascii="Times New Roman" w:eastAsia="Times New Roman" w:hAnsi="Times New Roman" w:cs="Times New Roman"/>
          <w:color w:val="333333"/>
          <w:sz w:val="18"/>
          <w:szCs w:val="18"/>
          <w:lang w:eastAsia="es-ES"/>
        </w:rPr>
        <w:t>Como veíamos en el </w:t>
      </w:r>
      <w:hyperlink r:id="rId7" w:tooltip="Las novedades en el currículo básico LOMCE. Parte 1" w:history="1">
        <w:r w:rsidRPr="003B51E5">
          <w:rPr>
            <w:rFonts w:ascii="Times New Roman" w:eastAsia="Times New Roman" w:hAnsi="Times New Roman" w:cs="Times New Roman"/>
            <w:color w:val="0077B7"/>
            <w:sz w:val="18"/>
            <w:szCs w:val="18"/>
            <w:lang w:eastAsia="es-ES"/>
          </w:rPr>
          <w:t>primer artículo dedicado al currículo LOMCE</w:t>
        </w:r>
      </w:hyperlink>
      <w:r w:rsidRPr="003B51E5">
        <w:rPr>
          <w:rFonts w:ascii="Times New Roman" w:eastAsia="Times New Roman" w:hAnsi="Times New Roman" w:cs="Times New Roman"/>
          <w:color w:val="333333"/>
          <w:sz w:val="18"/>
          <w:szCs w:val="18"/>
          <w:lang w:eastAsia="es-ES"/>
        </w:rPr>
        <w:t>, cuando nos adentramos en las áreas de conocimiento que desarrolla el nuevo </w:t>
      </w:r>
      <w:r w:rsidRPr="003B51E5">
        <w:rPr>
          <w:rFonts w:ascii="Times New Roman" w:eastAsia="Times New Roman" w:hAnsi="Times New Roman" w:cs="Times New Roman"/>
          <w:i/>
          <w:iCs/>
          <w:color w:val="333333"/>
          <w:sz w:val="18"/>
          <w:szCs w:val="18"/>
          <w:lang w:eastAsia="es-ES"/>
        </w:rPr>
        <w:t>Real Decreto 126/2014, de currículo básico de primaria</w:t>
      </w:r>
      <w:r w:rsidRPr="003B51E5">
        <w:rPr>
          <w:rFonts w:ascii="Times New Roman" w:eastAsia="Times New Roman" w:hAnsi="Times New Roman" w:cs="Times New Roman"/>
          <w:color w:val="333333"/>
          <w:sz w:val="18"/>
          <w:szCs w:val="18"/>
          <w:lang w:eastAsia="es-ES"/>
        </w:rPr>
        <w:t>, no cabe ninguna duda de que la desaparición de Conocimiento del Medio resulta llamativa… pero no novedosa. Ya lo sabíamos desde hace más de un año. Lo que sí resulta sorprendente desde un punto de vista técnico es comprobar que ninguna de las áreas tiene detallado ningún objetivo mientras que los esfuerzos que realizaron para detallar los nuevos “estándares de aprendizaje” son inversamente proporcionales. La profusión en su ejecución no deja de ser sorprendente.</w:t>
      </w:r>
    </w:p>
    <w:p w:rsidR="003B51E5" w:rsidRPr="003B51E5" w:rsidRDefault="003B51E5" w:rsidP="003B51E5">
      <w:pPr>
        <w:spacing w:after="300" w:line="240" w:lineRule="auto"/>
        <w:jc w:val="both"/>
        <w:rPr>
          <w:rFonts w:ascii="Times New Roman" w:eastAsia="Times New Roman" w:hAnsi="Times New Roman" w:cs="Times New Roman"/>
          <w:color w:val="333333"/>
          <w:sz w:val="18"/>
          <w:szCs w:val="18"/>
          <w:lang w:eastAsia="es-ES"/>
        </w:rPr>
      </w:pPr>
      <w:r w:rsidRPr="003B51E5">
        <w:rPr>
          <w:rFonts w:ascii="Times New Roman" w:eastAsia="Times New Roman" w:hAnsi="Times New Roman" w:cs="Times New Roman"/>
          <w:color w:val="333333"/>
          <w:sz w:val="18"/>
          <w:szCs w:val="18"/>
          <w:lang w:eastAsia="es-ES"/>
        </w:rPr>
        <w:t>Bien pero, exactamente, ¿de qué estamos hablando? El propio Real Decreto nos los define como “</w:t>
      </w:r>
      <w:r w:rsidRPr="003B51E5">
        <w:rPr>
          <w:rFonts w:ascii="Times New Roman" w:eastAsia="Times New Roman" w:hAnsi="Times New Roman" w:cs="Times New Roman"/>
          <w:b/>
          <w:bCs/>
          <w:color w:val="333333"/>
          <w:sz w:val="18"/>
          <w:szCs w:val="18"/>
          <w:lang w:eastAsia="es-ES"/>
        </w:rPr>
        <w:t>especificaciones de los criterios de evaluación</w:t>
      </w:r>
      <w:r w:rsidRPr="003B51E5">
        <w:rPr>
          <w:rFonts w:ascii="Times New Roman" w:eastAsia="Times New Roman" w:hAnsi="Times New Roman" w:cs="Times New Roman"/>
          <w:color w:val="333333"/>
          <w:sz w:val="18"/>
          <w:szCs w:val="18"/>
          <w:lang w:eastAsia="es-ES"/>
        </w:rPr>
        <w:t> que permiten definir los </w:t>
      </w:r>
      <w:r w:rsidRPr="003B51E5">
        <w:rPr>
          <w:rFonts w:ascii="Times New Roman" w:eastAsia="Times New Roman" w:hAnsi="Times New Roman" w:cs="Times New Roman"/>
          <w:b/>
          <w:bCs/>
          <w:color w:val="333333"/>
          <w:sz w:val="18"/>
          <w:szCs w:val="18"/>
          <w:lang w:eastAsia="es-ES"/>
        </w:rPr>
        <w:t>resultados</w:t>
      </w:r>
      <w:r w:rsidRPr="003B51E5">
        <w:rPr>
          <w:rFonts w:ascii="Times New Roman" w:eastAsia="Times New Roman" w:hAnsi="Times New Roman" w:cs="Times New Roman"/>
          <w:color w:val="333333"/>
          <w:sz w:val="18"/>
          <w:szCs w:val="18"/>
          <w:lang w:eastAsia="es-ES"/>
        </w:rPr>
        <w:t> de aprendizaje, y que concretan lo que el alumno debe saber, comprender y saber hacer en cada asignatura; deben ser observables, medibles y evaluables y </w:t>
      </w:r>
      <w:r w:rsidRPr="003B51E5">
        <w:rPr>
          <w:rFonts w:ascii="Times New Roman" w:eastAsia="Times New Roman" w:hAnsi="Times New Roman" w:cs="Times New Roman"/>
          <w:b/>
          <w:bCs/>
          <w:color w:val="333333"/>
          <w:sz w:val="18"/>
          <w:szCs w:val="18"/>
          <w:lang w:eastAsia="es-ES"/>
        </w:rPr>
        <w:t>permitir graduar el rendimiento o logro alcanzado</w:t>
      </w:r>
      <w:r w:rsidRPr="003B51E5">
        <w:rPr>
          <w:rFonts w:ascii="Times New Roman" w:eastAsia="Times New Roman" w:hAnsi="Times New Roman" w:cs="Times New Roman"/>
          <w:color w:val="333333"/>
          <w:sz w:val="18"/>
          <w:szCs w:val="18"/>
          <w:lang w:eastAsia="es-ES"/>
        </w:rPr>
        <w:t>. Su diseño debe contribuir y facilitar el diseño de pruebas estandarizadas y comparables.” Si ojeamos el desarrollo de las áreas, al primer golpe de lectura se comprueba a simple vista que son una concreción de los criterios de evaluación como dice la definición citada. Dicho de otra manera: son los criterios mucho más detallados y concretos (en algunos casos incluso vemos un criterio “desdoblado” en varios estándares).</w:t>
      </w:r>
    </w:p>
    <w:p w:rsidR="003B51E5" w:rsidRPr="003B51E5" w:rsidRDefault="003B51E5" w:rsidP="003B51E5">
      <w:pPr>
        <w:spacing w:after="300" w:line="240" w:lineRule="auto"/>
        <w:jc w:val="both"/>
        <w:rPr>
          <w:rFonts w:ascii="Asap" w:eastAsia="Times New Roman" w:hAnsi="Asap" w:cs="Times New Roman"/>
          <w:color w:val="333333"/>
          <w:sz w:val="18"/>
          <w:szCs w:val="18"/>
          <w:lang w:eastAsia="es-ES"/>
        </w:rPr>
      </w:pPr>
      <w:r w:rsidRPr="003B51E5">
        <w:rPr>
          <w:rFonts w:ascii="Times New Roman" w:eastAsia="Times New Roman" w:hAnsi="Times New Roman" w:cs="Times New Roman"/>
          <w:b/>
          <w:bCs/>
          <w:color w:val="333333"/>
          <w:sz w:val="18"/>
          <w:szCs w:val="18"/>
          <w:lang w:eastAsia="es-ES"/>
        </w:rPr>
        <w:t>¿Cuál es, por consiguiente</w:t>
      </w:r>
      <w:r w:rsidRPr="003B51E5">
        <w:rPr>
          <w:rFonts w:ascii="Asap" w:eastAsia="Times New Roman" w:hAnsi="Asap" w:cs="Times New Roman"/>
          <w:b/>
          <w:bCs/>
          <w:color w:val="333333"/>
          <w:sz w:val="18"/>
          <w:szCs w:val="18"/>
          <w:lang w:eastAsia="es-ES"/>
        </w:rPr>
        <w:t>, la diferencia entre criterios y estándares?</w:t>
      </w:r>
    </w:p>
    <w:p w:rsidR="003B51E5" w:rsidRPr="003B51E5" w:rsidRDefault="003B51E5" w:rsidP="003B51E5">
      <w:pPr>
        <w:spacing w:after="300" w:line="240" w:lineRule="auto"/>
        <w:jc w:val="both"/>
        <w:rPr>
          <w:rFonts w:ascii="Asap" w:eastAsia="Times New Roman" w:hAnsi="Asap" w:cs="Times New Roman"/>
          <w:color w:val="333333"/>
          <w:sz w:val="18"/>
          <w:szCs w:val="18"/>
          <w:lang w:eastAsia="es-ES"/>
        </w:rPr>
      </w:pPr>
      <w:r w:rsidRPr="003B51E5">
        <w:rPr>
          <w:rFonts w:ascii="Asap" w:eastAsia="Times New Roman" w:hAnsi="Asap" w:cs="Times New Roman"/>
          <w:color w:val="333333"/>
          <w:sz w:val="18"/>
          <w:szCs w:val="18"/>
          <w:lang w:eastAsia="es-ES"/>
        </w:rPr>
        <w:t>Hemos necesitado “tirar de manual” para saber exactamente cuál es la diferencia entre ambos, donde Cabrera P. (2011) nos recuerda que “</w:t>
      </w:r>
      <w:r w:rsidRPr="003B51E5">
        <w:rPr>
          <w:rFonts w:ascii="Asap" w:eastAsia="Times New Roman" w:hAnsi="Asap" w:cs="Times New Roman"/>
          <w:i/>
          <w:iCs/>
          <w:color w:val="333333"/>
          <w:sz w:val="18"/>
          <w:szCs w:val="18"/>
          <w:lang w:eastAsia="es-ES"/>
        </w:rPr>
        <w:t>los estándares son niveles de realización aceptable o no aceptable para cada uno de los criterios”. </w:t>
      </w:r>
      <w:r w:rsidRPr="003B51E5">
        <w:rPr>
          <w:rFonts w:ascii="Asap" w:eastAsia="Times New Roman" w:hAnsi="Asap" w:cs="Times New Roman"/>
          <w:color w:val="333333"/>
          <w:sz w:val="18"/>
          <w:szCs w:val="18"/>
          <w:lang w:eastAsia="es-ES"/>
        </w:rPr>
        <w:t>Es decir, determinan hasta qué punto hemos logrado o no un criterio de evaluación delimitando el grado de éxito que se ha conseguido durante el proceso de enseñanza/aprendizaje.</w:t>
      </w:r>
    </w:p>
    <w:p w:rsidR="003B51E5" w:rsidRPr="003B51E5" w:rsidRDefault="003B51E5" w:rsidP="003B51E5">
      <w:pPr>
        <w:spacing w:after="300" w:line="240" w:lineRule="auto"/>
        <w:jc w:val="both"/>
        <w:rPr>
          <w:rFonts w:ascii="Asap" w:eastAsia="Times New Roman" w:hAnsi="Asap" w:cs="Times New Roman"/>
          <w:color w:val="333333"/>
          <w:sz w:val="18"/>
          <w:szCs w:val="18"/>
          <w:lang w:eastAsia="es-ES"/>
        </w:rPr>
      </w:pPr>
      <w:r w:rsidRPr="003B51E5">
        <w:rPr>
          <w:rFonts w:ascii="Asap" w:eastAsia="Times New Roman" w:hAnsi="Asap" w:cs="Times New Roman"/>
          <w:b/>
          <w:bCs/>
          <w:color w:val="333333"/>
          <w:sz w:val="18"/>
          <w:szCs w:val="18"/>
          <w:lang w:eastAsia="es-ES"/>
        </w:rPr>
        <w:t>Las implicaciones en la práctica, en el aire</w:t>
      </w:r>
    </w:p>
    <w:p w:rsidR="003B51E5" w:rsidRPr="003B51E5" w:rsidRDefault="003B51E5" w:rsidP="003B51E5">
      <w:pPr>
        <w:spacing w:after="300" w:line="240" w:lineRule="auto"/>
        <w:jc w:val="both"/>
        <w:rPr>
          <w:rFonts w:ascii="Asap" w:eastAsia="Times New Roman" w:hAnsi="Asap" w:cs="Times New Roman"/>
          <w:color w:val="333333"/>
          <w:sz w:val="18"/>
          <w:szCs w:val="18"/>
          <w:lang w:eastAsia="es-ES"/>
        </w:rPr>
      </w:pPr>
      <w:r w:rsidRPr="003B51E5">
        <w:rPr>
          <w:rFonts w:ascii="Asap" w:eastAsia="Times New Roman" w:hAnsi="Asap" w:cs="Times New Roman"/>
          <w:color w:val="333333"/>
          <w:sz w:val="18"/>
          <w:szCs w:val="18"/>
          <w:lang w:eastAsia="es-ES"/>
        </w:rPr>
        <w:t>Para concluir, lanzamos una breve reflexión al aire: ¿son los estándares de aprendizaje (versus los objetivos) el nuevo referente en el currículo? Sorprende un currículo centrado en los criterios y estándares en el que los objetivos brillan notoriamente por su ausencia. La lectura que se hace de esto es que nos preocupan más las notas que saquen los alumnos que las metas a alcanzar. ¿Será así? Me cuesta trabajo creerlo. ¿Pasamos a un sistema educativo centrado obsesivamente en la evaluación y en la presión sobre el alumnado frente a la preocupación por que se realice un aprendizaje que sea significativo?</w:t>
      </w:r>
    </w:p>
    <w:p w:rsidR="003B51E5" w:rsidRPr="003B51E5" w:rsidRDefault="003B51E5" w:rsidP="003B51E5">
      <w:pPr>
        <w:spacing w:after="300" w:line="240" w:lineRule="auto"/>
        <w:jc w:val="both"/>
        <w:rPr>
          <w:rFonts w:ascii="Asap" w:eastAsia="Times New Roman" w:hAnsi="Asap" w:cs="Times New Roman"/>
          <w:color w:val="333333"/>
          <w:sz w:val="18"/>
          <w:szCs w:val="18"/>
          <w:lang w:eastAsia="es-ES"/>
        </w:rPr>
      </w:pPr>
      <w:r w:rsidRPr="003B51E5">
        <w:rPr>
          <w:rFonts w:ascii="Asap" w:eastAsia="Times New Roman" w:hAnsi="Asap" w:cs="Times New Roman"/>
          <w:color w:val="333333"/>
          <w:sz w:val="18"/>
          <w:szCs w:val="18"/>
          <w:lang w:eastAsia="es-ES"/>
        </w:rPr>
        <w:t>Por el contrario, la presencia de estándares y la ausencia de objetivos para que seamos los profesores quienes los detallemos en las programaciones, ¿nos dan más autonomía pedagógica en el diseño de los mismos?</w:t>
      </w:r>
    </w:p>
    <w:p w:rsidR="003B51E5" w:rsidRPr="003B51E5" w:rsidRDefault="003B51E5" w:rsidP="003B51E5">
      <w:pPr>
        <w:spacing w:after="300" w:line="240" w:lineRule="auto"/>
        <w:rPr>
          <w:rFonts w:ascii="Asap" w:eastAsia="Times New Roman" w:hAnsi="Asap" w:cs="Times New Roman"/>
          <w:color w:val="333333"/>
          <w:sz w:val="18"/>
          <w:szCs w:val="18"/>
          <w:lang w:eastAsia="es-ES"/>
        </w:rPr>
      </w:pPr>
    </w:p>
    <w:p w:rsidR="003B51E5" w:rsidRPr="003B51E5" w:rsidRDefault="003B51E5" w:rsidP="003B51E5">
      <w:pPr>
        <w:spacing w:before="150" w:after="0" w:line="600" w:lineRule="atLeast"/>
        <w:outlineLvl w:val="0"/>
        <w:rPr>
          <w:rFonts w:eastAsia="Times New Roman" w:cstheme="minorHAnsi"/>
          <w:color w:val="333333"/>
          <w:kern w:val="36"/>
          <w:sz w:val="36"/>
          <w:szCs w:val="36"/>
          <w:lang w:eastAsia="es-ES"/>
        </w:rPr>
      </w:pPr>
      <w:r w:rsidRPr="003B51E5">
        <w:rPr>
          <w:rFonts w:eastAsia="Times New Roman" w:cstheme="minorHAnsi"/>
          <w:color w:val="333333"/>
          <w:kern w:val="36"/>
          <w:sz w:val="36"/>
          <w:szCs w:val="36"/>
          <w:lang w:eastAsia="es-ES"/>
        </w:rPr>
        <w:t>Evaluar con estándares de aprendizaje: las rúbricas</w:t>
      </w:r>
    </w:p>
    <w:p w:rsidR="003B51E5" w:rsidRPr="003B51E5" w:rsidRDefault="003B51E5" w:rsidP="003B51E5">
      <w:pPr>
        <w:spacing w:before="300" w:after="300" w:line="240" w:lineRule="auto"/>
        <w:rPr>
          <w:rFonts w:eastAsia="Times New Roman" w:cstheme="minorHAnsi"/>
          <w:sz w:val="36"/>
          <w:szCs w:val="36"/>
          <w:lang w:eastAsia="es-ES"/>
        </w:rPr>
      </w:pPr>
      <w:r w:rsidRPr="003B51E5">
        <w:rPr>
          <w:rFonts w:eastAsia="Times New Roman" w:cstheme="minorHAnsi"/>
          <w:sz w:val="36"/>
          <w:szCs w:val="36"/>
          <w:lang w:eastAsia="es-ES"/>
        </w:rPr>
        <w:pict>
          <v:rect id="_x0000_i1029" style="width:0;height:1.5pt" o:hralign="center" o:hrstd="t" o:hrnoshade="t" o:hr="t" fillcolor="#333" stroked="f"/>
        </w:pict>
      </w:r>
    </w:p>
    <w:p w:rsidR="003B51E5" w:rsidRPr="003B51E5" w:rsidRDefault="003B51E5" w:rsidP="003B51E5">
      <w:pPr>
        <w:spacing w:after="0" w:line="240" w:lineRule="auto"/>
        <w:rPr>
          <w:rFonts w:ascii="Asap" w:eastAsia="Times New Roman" w:hAnsi="Asap" w:cs="Times New Roman"/>
          <w:color w:val="333333"/>
          <w:sz w:val="18"/>
          <w:szCs w:val="18"/>
          <w:lang w:eastAsia="es-ES"/>
        </w:rPr>
      </w:pPr>
      <w:r w:rsidRPr="003B51E5">
        <w:rPr>
          <w:rFonts w:ascii="Asap" w:eastAsia="Times New Roman" w:hAnsi="Asap" w:cs="Times New Roman"/>
          <w:color w:val="333333"/>
          <w:sz w:val="18"/>
          <w:szCs w:val="18"/>
          <w:lang w:eastAsia="es-ES"/>
        </w:rPr>
        <w:t>Tras la aprobación del Real Decreto estatal de currículo básico fueron muchas las preguntas que recibimos acerca de los estándares de aprendizaje y, por ello, elaboramos un </w:t>
      </w:r>
      <w:hyperlink r:id="rId8" w:tooltip="Los estándares de aprendizaje y los criterios de evaluación" w:history="1">
        <w:r w:rsidRPr="003B51E5">
          <w:rPr>
            <w:rFonts w:ascii="Asap" w:eastAsia="Times New Roman" w:hAnsi="Asap" w:cs="Times New Roman"/>
            <w:color w:val="0077B7"/>
            <w:sz w:val="18"/>
            <w:szCs w:val="18"/>
            <w:lang w:eastAsia="es-ES"/>
          </w:rPr>
          <w:t>artículo dedicado exclusivamente a explicarlos</w:t>
        </w:r>
      </w:hyperlink>
      <w:r w:rsidRPr="003B51E5">
        <w:rPr>
          <w:rFonts w:ascii="Asap" w:eastAsia="Times New Roman" w:hAnsi="Asap" w:cs="Times New Roman"/>
          <w:color w:val="333333"/>
          <w:sz w:val="18"/>
          <w:szCs w:val="18"/>
          <w:lang w:eastAsia="es-ES"/>
        </w:rPr>
        <w:t>.</w:t>
      </w:r>
    </w:p>
    <w:p w:rsidR="003B51E5" w:rsidRPr="003B51E5" w:rsidRDefault="003B51E5" w:rsidP="003B51E5">
      <w:pPr>
        <w:spacing w:line="240" w:lineRule="auto"/>
        <w:rPr>
          <w:rFonts w:ascii="Asap" w:eastAsia="Times New Roman" w:hAnsi="Asap" w:cs="Times New Roman"/>
          <w:color w:val="333333"/>
          <w:sz w:val="18"/>
          <w:szCs w:val="18"/>
          <w:lang w:eastAsia="es-ES"/>
        </w:rPr>
      </w:pPr>
      <w:r w:rsidRPr="003B51E5">
        <w:rPr>
          <w:rFonts w:ascii="Asap" w:eastAsia="Times New Roman" w:hAnsi="Asap" w:cs="Times New Roman"/>
          <w:color w:val="333333"/>
          <w:sz w:val="18"/>
          <w:szCs w:val="18"/>
          <w:lang w:eastAsia="es-ES"/>
        </w:rPr>
        <w:t>Ahora la preocupación llega en el paso siguiente: ponernos manos a la obra y evaluar en base a ellos. Para ello, desde hace algún tiempo, profesores que ya trabajaban en diferentes proyectos (o por iniciativa propia simplemente) utilizan las “rúbricas” que colocan a los estándares de aprendizaje como elemento nuclear. Vamos a profundizar en estas rúbricas a lo largo de este post.</w:t>
      </w:r>
    </w:p>
    <w:p w:rsidR="003B51E5" w:rsidRDefault="003B51E5" w:rsidP="003B51E5">
      <w:pPr>
        <w:spacing w:after="0" w:line="240" w:lineRule="auto"/>
        <w:rPr>
          <w:rFonts w:ascii="Asap" w:eastAsia="Times New Roman" w:hAnsi="Asap" w:cs="Times New Roman"/>
          <w:b/>
          <w:bCs/>
          <w:color w:val="333333"/>
          <w:sz w:val="18"/>
          <w:szCs w:val="18"/>
          <w:lang w:eastAsia="es-ES"/>
        </w:rPr>
      </w:pPr>
      <w:r w:rsidRPr="003B51E5">
        <w:rPr>
          <w:rFonts w:ascii="Asap" w:eastAsia="Times New Roman" w:hAnsi="Asap" w:cs="Times New Roman"/>
          <w:b/>
          <w:bCs/>
          <w:color w:val="333333"/>
          <w:sz w:val="18"/>
          <w:szCs w:val="18"/>
          <w:lang w:eastAsia="es-ES"/>
        </w:rPr>
        <w:t>¿QUÉ ES UNA “RÚBRICA” O “MATRIZ DE EVALUACIÓN”?</w:t>
      </w:r>
    </w:p>
    <w:p w:rsidR="003B51E5" w:rsidRPr="003B51E5" w:rsidRDefault="003B51E5" w:rsidP="003B51E5">
      <w:pPr>
        <w:spacing w:after="0" w:line="240" w:lineRule="auto"/>
        <w:rPr>
          <w:rFonts w:ascii="Asap" w:eastAsia="Times New Roman" w:hAnsi="Asap" w:cs="Times New Roman"/>
          <w:color w:val="333333"/>
          <w:sz w:val="18"/>
          <w:szCs w:val="18"/>
          <w:lang w:eastAsia="es-ES"/>
        </w:rPr>
      </w:pPr>
    </w:p>
    <w:p w:rsidR="003B51E5" w:rsidRPr="003B51E5" w:rsidRDefault="003B51E5" w:rsidP="003B51E5">
      <w:pPr>
        <w:spacing w:after="0" w:line="240" w:lineRule="auto"/>
        <w:jc w:val="both"/>
        <w:rPr>
          <w:rFonts w:ascii="Asap" w:eastAsia="Times New Roman" w:hAnsi="Asap" w:cs="Times New Roman"/>
          <w:color w:val="333333"/>
          <w:sz w:val="18"/>
          <w:szCs w:val="18"/>
          <w:lang w:eastAsia="es-ES"/>
        </w:rPr>
      </w:pPr>
      <w:r w:rsidRPr="003B51E5">
        <w:rPr>
          <w:rFonts w:ascii="Asap" w:eastAsia="Times New Roman" w:hAnsi="Asap" w:cs="Times New Roman"/>
          <w:color w:val="333333"/>
          <w:sz w:val="18"/>
          <w:szCs w:val="18"/>
          <w:lang w:eastAsia="es-ES"/>
        </w:rPr>
        <w:t>Una de las primeras referencias con las que trabajamos es el blog www.cienciasmc.es. Según la definición que nos dan sus autores, una “matriz de evaluación” o “rúbrica” “</w:t>
      </w:r>
      <w:r w:rsidRPr="003B51E5">
        <w:rPr>
          <w:rFonts w:ascii="Asap" w:eastAsia="Times New Roman" w:hAnsi="Asap" w:cs="Times New Roman"/>
          <w:i/>
          <w:iCs/>
          <w:color w:val="333333"/>
          <w:sz w:val="18"/>
          <w:szCs w:val="18"/>
          <w:lang w:eastAsia="es-ES"/>
        </w:rPr>
        <w:t>es una tabla de doble entrada donde se describen criterios y niveles de calidad de cierta tarea, objetivo, o competencia en general, de complejidad alta”</w:t>
      </w:r>
      <w:r w:rsidRPr="003B51E5">
        <w:rPr>
          <w:rFonts w:ascii="Asap" w:eastAsia="Times New Roman" w:hAnsi="Asap" w:cs="Times New Roman"/>
          <w:color w:val="333333"/>
          <w:sz w:val="18"/>
          <w:szCs w:val="18"/>
          <w:lang w:eastAsia="es-ES"/>
        </w:rPr>
        <w:t>. Es decir, por un lado detallamos cuáles son los estándares que emplearemos y, por el otro, cuál es el nivel de consecución del mismo. Por norma, en las filas se detallan los estándares y en las columnas los niveles de calidad.</w:t>
      </w:r>
    </w:p>
    <w:p w:rsidR="003B51E5" w:rsidRPr="003B51E5" w:rsidRDefault="003B51E5" w:rsidP="003B51E5">
      <w:pPr>
        <w:spacing w:line="240" w:lineRule="auto"/>
        <w:jc w:val="both"/>
        <w:rPr>
          <w:rFonts w:ascii="Asap" w:eastAsia="Times New Roman" w:hAnsi="Asap" w:cs="Times New Roman"/>
          <w:color w:val="333333"/>
          <w:sz w:val="18"/>
          <w:szCs w:val="18"/>
          <w:lang w:eastAsia="es-ES"/>
        </w:rPr>
      </w:pPr>
      <w:r w:rsidRPr="003B51E5">
        <w:rPr>
          <w:rFonts w:ascii="Asap" w:eastAsia="Times New Roman" w:hAnsi="Asap" w:cs="Times New Roman"/>
          <w:color w:val="333333"/>
          <w:sz w:val="18"/>
          <w:szCs w:val="18"/>
          <w:lang w:eastAsia="es-ES"/>
        </w:rPr>
        <w:lastRenderedPageBreak/>
        <w:t>Aunque inicialmente resulta una herramienta relativamente compleja, no deja de ser menos cierto que ofrece una “imagen” detalladísima de la evaluación al constar no solamente qué estándar ha superado cada alumno o alumna sino además en qué nivel.</w:t>
      </w:r>
    </w:p>
    <w:p w:rsidR="003B51E5" w:rsidRPr="003B51E5" w:rsidRDefault="003B51E5" w:rsidP="003B51E5">
      <w:pPr>
        <w:shd w:val="clear" w:color="auto" w:fill="DFF0D8"/>
        <w:spacing w:after="300" w:line="240" w:lineRule="auto"/>
        <w:rPr>
          <w:rFonts w:ascii="Asap" w:eastAsia="Times New Roman" w:hAnsi="Asap" w:cs="Times New Roman"/>
          <w:color w:val="3C763D"/>
          <w:sz w:val="18"/>
          <w:szCs w:val="18"/>
          <w:lang w:eastAsia="es-ES"/>
        </w:rPr>
      </w:pPr>
      <w:r w:rsidRPr="003B51E5">
        <w:rPr>
          <w:rFonts w:ascii="Asap" w:eastAsia="Times New Roman" w:hAnsi="Asap" w:cs="Times New Roman"/>
          <w:color w:val="3C763D"/>
          <w:sz w:val="18"/>
          <w:szCs w:val="18"/>
          <w:lang w:eastAsia="es-ES"/>
        </w:rPr>
        <w:t>Artículos relacionados:</w:t>
      </w:r>
    </w:p>
    <w:p w:rsidR="003B51E5" w:rsidRPr="003B51E5" w:rsidRDefault="003B51E5" w:rsidP="003B51E5">
      <w:pPr>
        <w:numPr>
          <w:ilvl w:val="0"/>
          <w:numId w:val="2"/>
        </w:numPr>
        <w:shd w:val="clear" w:color="auto" w:fill="DFF0D8"/>
        <w:spacing w:before="100" w:beforeAutospacing="1" w:after="100" w:afterAutospacing="1" w:line="300" w:lineRule="atLeast"/>
        <w:ind w:left="375"/>
        <w:rPr>
          <w:rFonts w:ascii="Asap" w:eastAsia="Times New Roman" w:hAnsi="Asap" w:cs="Times New Roman"/>
          <w:color w:val="3C763D"/>
          <w:sz w:val="18"/>
          <w:szCs w:val="18"/>
          <w:lang w:eastAsia="es-ES"/>
        </w:rPr>
      </w:pPr>
      <w:hyperlink r:id="rId9" w:tooltip="Ejemplo Unidad didáctica LOMCE basada en estándares" w:history="1">
        <w:r w:rsidRPr="003B51E5">
          <w:rPr>
            <w:rFonts w:ascii="Asap" w:eastAsia="Times New Roman" w:hAnsi="Asap" w:cs="Times New Roman"/>
            <w:color w:val="0077B7"/>
            <w:sz w:val="18"/>
            <w:szCs w:val="18"/>
            <w:lang w:eastAsia="es-ES"/>
          </w:rPr>
          <w:t>Unidades Didácticas LOMCE basadas en estándares</w:t>
        </w:r>
      </w:hyperlink>
    </w:p>
    <w:p w:rsidR="003B51E5" w:rsidRPr="003B51E5" w:rsidRDefault="003B51E5" w:rsidP="003B51E5">
      <w:pPr>
        <w:numPr>
          <w:ilvl w:val="0"/>
          <w:numId w:val="2"/>
        </w:numPr>
        <w:shd w:val="clear" w:color="auto" w:fill="DFF0D8"/>
        <w:spacing w:before="100" w:beforeAutospacing="1" w:after="100" w:afterAutospacing="1" w:line="300" w:lineRule="atLeast"/>
        <w:ind w:left="375"/>
        <w:rPr>
          <w:rFonts w:ascii="Asap" w:eastAsia="Times New Roman" w:hAnsi="Asap" w:cs="Times New Roman"/>
          <w:color w:val="3C763D"/>
          <w:sz w:val="18"/>
          <w:szCs w:val="18"/>
          <w:lang w:eastAsia="es-ES"/>
        </w:rPr>
      </w:pPr>
      <w:hyperlink r:id="rId10" w:tooltip="Los estándares de aprendizaje y los criterios de evaluación" w:history="1">
        <w:r w:rsidRPr="003B51E5">
          <w:rPr>
            <w:rFonts w:ascii="Asap" w:eastAsia="Times New Roman" w:hAnsi="Asap" w:cs="Times New Roman"/>
            <w:color w:val="0077B7"/>
            <w:sz w:val="18"/>
            <w:szCs w:val="18"/>
            <w:lang w:eastAsia="es-ES"/>
          </w:rPr>
          <w:t>Estándares de aprendizaje y criterios de evaluación</w:t>
        </w:r>
      </w:hyperlink>
    </w:p>
    <w:p w:rsidR="003B51E5" w:rsidRPr="003B51E5" w:rsidRDefault="003B51E5" w:rsidP="003B51E5">
      <w:pPr>
        <w:numPr>
          <w:ilvl w:val="0"/>
          <w:numId w:val="2"/>
        </w:numPr>
        <w:shd w:val="clear" w:color="auto" w:fill="DFF0D8"/>
        <w:spacing w:before="100" w:beforeAutospacing="1" w:after="100" w:afterAutospacing="1" w:line="300" w:lineRule="atLeast"/>
        <w:ind w:left="375"/>
        <w:rPr>
          <w:rFonts w:ascii="Asap" w:eastAsia="Times New Roman" w:hAnsi="Asap" w:cs="Times New Roman"/>
          <w:color w:val="3C763D"/>
          <w:sz w:val="18"/>
          <w:szCs w:val="18"/>
          <w:lang w:eastAsia="es-ES"/>
        </w:rPr>
      </w:pPr>
      <w:hyperlink r:id="rId11" w:tooltip="Currículum Primaria LOMCE – Áreas de conocimiento" w:history="1">
        <w:r w:rsidRPr="003B51E5">
          <w:rPr>
            <w:rFonts w:ascii="Asap" w:eastAsia="Times New Roman" w:hAnsi="Asap" w:cs="Times New Roman"/>
            <w:color w:val="0077B7"/>
            <w:sz w:val="18"/>
            <w:szCs w:val="18"/>
            <w:lang w:eastAsia="es-ES"/>
          </w:rPr>
          <w:t>Currículum Primaria LOMCE – Áreas de conocimiento</w:t>
        </w:r>
      </w:hyperlink>
    </w:p>
    <w:p w:rsidR="003B51E5" w:rsidRPr="003B51E5" w:rsidRDefault="003B51E5" w:rsidP="003B51E5">
      <w:pPr>
        <w:numPr>
          <w:ilvl w:val="0"/>
          <w:numId w:val="2"/>
        </w:numPr>
        <w:shd w:val="clear" w:color="auto" w:fill="DFF0D8"/>
        <w:spacing w:before="100" w:beforeAutospacing="1" w:after="100" w:afterAutospacing="1" w:line="300" w:lineRule="atLeast"/>
        <w:ind w:left="375"/>
        <w:rPr>
          <w:rFonts w:ascii="Asap" w:eastAsia="Times New Roman" w:hAnsi="Asap" w:cs="Times New Roman"/>
          <w:color w:val="3C763D"/>
          <w:sz w:val="18"/>
          <w:szCs w:val="18"/>
          <w:lang w:eastAsia="es-ES"/>
        </w:rPr>
      </w:pPr>
      <w:hyperlink r:id="rId12" w:tooltip="Currículum Primaria LOMCE – Competencias Clave" w:history="1">
        <w:r w:rsidRPr="003B51E5">
          <w:rPr>
            <w:rFonts w:ascii="Asap" w:eastAsia="Times New Roman" w:hAnsi="Asap" w:cs="Times New Roman"/>
            <w:color w:val="0077B7"/>
            <w:sz w:val="18"/>
            <w:szCs w:val="18"/>
            <w:lang w:eastAsia="es-ES"/>
          </w:rPr>
          <w:t>Currículum Primaria LOMCE – Competencias Clave</w:t>
        </w:r>
      </w:hyperlink>
    </w:p>
    <w:p w:rsidR="003B51E5" w:rsidRPr="003B51E5" w:rsidRDefault="003B51E5" w:rsidP="003B51E5">
      <w:pPr>
        <w:spacing w:after="0" w:line="240" w:lineRule="auto"/>
        <w:rPr>
          <w:rFonts w:ascii="Asap" w:eastAsia="Times New Roman" w:hAnsi="Asap" w:cs="Times New Roman"/>
          <w:color w:val="333333"/>
          <w:sz w:val="18"/>
          <w:szCs w:val="18"/>
          <w:lang w:eastAsia="es-ES"/>
        </w:rPr>
      </w:pPr>
    </w:p>
    <w:p w:rsidR="003B51E5" w:rsidRPr="003B51E5" w:rsidRDefault="003B51E5" w:rsidP="003B51E5">
      <w:pPr>
        <w:spacing w:after="0" w:line="240" w:lineRule="auto"/>
        <w:jc w:val="both"/>
        <w:rPr>
          <w:rFonts w:ascii="Asap" w:eastAsia="Times New Roman" w:hAnsi="Asap" w:cs="Times New Roman"/>
          <w:color w:val="333333"/>
          <w:sz w:val="18"/>
          <w:szCs w:val="18"/>
          <w:lang w:eastAsia="es-ES"/>
        </w:rPr>
      </w:pPr>
      <w:r w:rsidRPr="003B51E5">
        <w:rPr>
          <w:rFonts w:ascii="Asap" w:eastAsia="Times New Roman" w:hAnsi="Asap" w:cs="Times New Roman"/>
          <w:b/>
          <w:bCs/>
          <w:color w:val="333333"/>
          <w:sz w:val="18"/>
          <w:szCs w:val="18"/>
          <w:lang w:eastAsia="es-ES"/>
        </w:rPr>
        <w:t>¿CÓMO SE HACE?</w:t>
      </w:r>
    </w:p>
    <w:p w:rsidR="003B51E5" w:rsidRPr="003B51E5" w:rsidRDefault="003B51E5" w:rsidP="003B51E5">
      <w:pPr>
        <w:spacing w:line="240" w:lineRule="auto"/>
        <w:jc w:val="both"/>
        <w:rPr>
          <w:rFonts w:ascii="Asap" w:eastAsia="Times New Roman" w:hAnsi="Asap" w:cs="Times New Roman"/>
          <w:color w:val="333333"/>
          <w:sz w:val="18"/>
          <w:szCs w:val="18"/>
          <w:lang w:eastAsia="es-ES"/>
        </w:rPr>
      </w:pPr>
      <w:r w:rsidRPr="003B51E5">
        <w:rPr>
          <w:rFonts w:ascii="Asap" w:eastAsia="Times New Roman" w:hAnsi="Asap" w:cs="Times New Roman"/>
          <w:color w:val="333333"/>
          <w:sz w:val="18"/>
          <w:szCs w:val="18"/>
          <w:lang w:eastAsia="es-ES"/>
        </w:rPr>
        <w:t>En esta plantilla podemos ver 6 columnas. De ellas, la primera se dedica a detallar cada uno de los estándares; las cinco restantes a indicar el nivel de consecución de cada uno de ellos, estableciendo una escala de valoración del 1 al 5, correspondiéndose con los valores que se detallan en la tabla inferior.</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365"/>
        <w:gridCol w:w="1890"/>
        <w:gridCol w:w="1786"/>
        <w:gridCol w:w="1786"/>
        <w:gridCol w:w="1891"/>
        <w:gridCol w:w="1786"/>
      </w:tblGrid>
      <w:tr w:rsidR="003B51E5" w:rsidRPr="003B51E5" w:rsidTr="003B51E5">
        <w:tc>
          <w:tcPr>
            <w:tcW w:w="650" w:type="pct"/>
            <w:vMerge w:val="restart"/>
            <w:tcBorders>
              <w:top w:val="outset" w:sz="6" w:space="0" w:color="auto"/>
              <w:left w:val="outset" w:sz="6" w:space="0" w:color="auto"/>
              <w:bottom w:val="outset" w:sz="6" w:space="0" w:color="auto"/>
              <w:right w:val="outset" w:sz="6" w:space="0" w:color="auto"/>
            </w:tcBorders>
            <w:shd w:val="clear" w:color="auto" w:fill="99CCFF"/>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b/>
                <w:bCs/>
                <w:sz w:val="24"/>
                <w:szCs w:val="24"/>
                <w:lang w:eastAsia="es-ES"/>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FFCC99"/>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b/>
                <w:bCs/>
                <w:sz w:val="24"/>
                <w:szCs w:val="24"/>
                <w:lang w:eastAsia="es-ES"/>
              </w:rPr>
              <w:t>Escala de calificación</w:t>
            </w:r>
          </w:p>
        </w:tc>
      </w:tr>
      <w:tr w:rsidR="003B51E5" w:rsidRPr="003B51E5" w:rsidTr="003B51E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5</w:t>
            </w:r>
          </w:p>
        </w:tc>
        <w:tc>
          <w:tcPr>
            <w:tcW w:w="8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4</w:t>
            </w:r>
          </w:p>
        </w:tc>
        <w:tc>
          <w:tcPr>
            <w:tcW w:w="8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3</w:t>
            </w:r>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2</w:t>
            </w:r>
          </w:p>
        </w:tc>
        <w:tc>
          <w:tcPr>
            <w:tcW w:w="8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1</w:t>
            </w:r>
          </w:p>
        </w:tc>
      </w:tr>
      <w:tr w:rsidR="003B51E5" w:rsidRPr="003B51E5" w:rsidTr="003B51E5">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Estándar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r>
      <w:tr w:rsidR="003B51E5" w:rsidRPr="003B51E5" w:rsidTr="003B51E5">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Estándar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r>
      <w:tr w:rsidR="003B51E5" w:rsidRPr="003B51E5" w:rsidTr="003B51E5">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Estándar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r>
      <w:tr w:rsidR="003B51E5" w:rsidRPr="003B51E5" w:rsidTr="003B51E5">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Estándar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r>
      <w:tr w:rsidR="003B51E5" w:rsidRPr="003B51E5" w:rsidTr="003B51E5">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r>
      <w:tr w:rsidR="003B51E5" w:rsidRPr="003B51E5" w:rsidTr="003B51E5">
        <w:tc>
          <w:tcPr>
            <w:tcW w:w="0" w:type="auto"/>
            <w:vMerge w:val="restart"/>
            <w:tcBorders>
              <w:top w:val="outset" w:sz="6" w:space="0" w:color="auto"/>
              <w:left w:val="outset" w:sz="6" w:space="0" w:color="auto"/>
              <w:bottom w:val="outset" w:sz="6" w:space="0" w:color="auto"/>
              <w:right w:val="outset" w:sz="6" w:space="0" w:color="auto"/>
            </w:tcBorders>
            <w:shd w:val="clear" w:color="auto" w:fill="99CCFF"/>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b/>
                <w:bCs/>
                <w:sz w:val="24"/>
                <w:szCs w:val="24"/>
                <w:lang w:eastAsia="es-ES"/>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FFCC99"/>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b/>
                <w:bCs/>
                <w:sz w:val="24"/>
                <w:szCs w:val="24"/>
                <w:lang w:eastAsia="es-ES"/>
              </w:rPr>
              <w:t>Escala de calificación</w:t>
            </w:r>
          </w:p>
        </w:tc>
      </w:tr>
      <w:tr w:rsidR="003B51E5" w:rsidRPr="003B51E5" w:rsidTr="003B51E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1</w:t>
            </w:r>
          </w:p>
        </w:tc>
      </w:tr>
      <w:tr w:rsidR="003B51E5" w:rsidRPr="003B51E5" w:rsidTr="003B51E5">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Estándar 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Realizar una graduación cualitativa-descriptiva de cada uno de los Indicadores de evaluación</w:t>
            </w:r>
          </w:p>
        </w:tc>
      </w:tr>
    </w:tbl>
    <w:p w:rsidR="003B51E5" w:rsidRPr="003B51E5" w:rsidRDefault="003B51E5" w:rsidP="003B51E5">
      <w:pPr>
        <w:spacing w:line="240" w:lineRule="auto"/>
        <w:rPr>
          <w:rFonts w:ascii="Asap" w:eastAsia="Times New Roman" w:hAnsi="Asap" w:cs="Times New Roman"/>
          <w:vanish/>
          <w:color w:val="333333"/>
          <w:sz w:val="18"/>
          <w:szCs w:val="18"/>
          <w:lang w:eastAsia="es-ES"/>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527"/>
        <w:gridCol w:w="8977"/>
      </w:tblGrid>
      <w:tr w:rsidR="003B51E5" w:rsidRPr="003B51E5" w:rsidTr="003B51E5">
        <w:tc>
          <w:tcPr>
            <w:tcW w:w="650" w:type="pct"/>
            <w:tcBorders>
              <w:top w:val="outset" w:sz="6" w:space="0" w:color="auto"/>
              <w:left w:val="outset" w:sz="6" w:space="0" w:color="auto"/>
              <w:bottom w:val="outset" w:sz="6" w:space="0" w:color="auto"/>
              <w:right w:val="outset" w:sz="6" w:space="0" w:color="auto"/>
            </w:tcBorders>
            <w:shd w:val="clear" w:color="auto" w:fill="BDC4DF"/>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b/>
                <w:bCs/>
                <w:sz w:val="24"/>
                <w:szCs w:val="24"/>
                <w:lang w:eastAsia="es-ES"/>
              </w:rPr>
              <w:t>Calificación</w:t>
            </w:r>
          </w:p>
        </w:tc>
        <w:tc>
          <w:tcPr>
            <w:tcW w:w="0" w:type="auto"/>
            <w:tcBorders>
              <w:top w:val="outset" w:sz="6" w:space="0" w:color="auto"/>
              <w:left w:val="outset" w:sz="6" w:space="0" w:color="auto"/>
              <w:bottom w:val="outset" w:sz="6" w:space="0" w:color="auto"/>
              <w:right w:val="outset" w:sz="6" w:space="0" w:color="auto"/>
            </w:tcBorders>
            <w:shd w:val="clear" w:color="auto" w:fill="BDC4DF"/>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b/>
                <w:bCs/>
                <w:sz w:val="24"/>
                <w:szCs w:val="24"/>
                <w:lang w:eastAsia="es-ES"/>
              </w:rPr>
              <w:t>Descripción</w:t>
            </w:r>
          </w:p>
        </w:tc>
      </w:tr>
      <w:tr w:rsidR="003B51E5" w:rsidRPr="003B51E5" w:rsidTr="003B51E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b/>
                <w:bCs/>
                <w:sz w:val="24"/>
                <w:szCs w:val="24"/>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Demuestra total comprensión del problema. Todos los requerimientos de la tarea están incluidos en la respuesta</w:t>
            </w:r>
          </w:p>
        </w:tc>
      </w:tr>
      <w:tr w:rsidR="003B51E5" w:rsidRPr="003B51E5" w:rsidTr="003B51E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b/>
                <w:bCs/>
                <w:sz w:val="24"/>
                <w:szCs w:val="24"/>
                <w:lang w:eastAsia="es-ES"/>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Demuestra considerable comprensión del problema. Todos los requerimientos de la tarea están incluidos en la respuesta.</w:t>
            </w:r>
          </w:p>
        </w:tc>
      </w:tr>
      <w:tr w:rsidR="003B51E5" w:rsidRPr="003B51E5" w:rsidTr="003B51E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b/>
                <w:bCs/>
                <w:sz w:val="24"/>
                <w:szCs w:val="24"/>
                <w:lang w:eastAsia="es-ES"/>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Demuestra comprensión parcial del problema. La mayor cantidad de requerimientos de la tarea están comprendidos en la respuesta.</w:t>
            </w:r>
          </w:p>
        </w:tc>
      </w:tr>
      <w:tr w:rsidR="003B51E5" w:rsidRPr="003B51E5" w:rsidTr="003B51E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b/>
                <w:bCs/>
                <w:sz w:val="24"/>
                <w:szCs w:val="24"/>
                <w:lang w:eastAsia="es-ES"/>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Demuestra poca comprensión del problema. Muchos de los requerimientos de la tarea faltan en la respuesta.</w:t>
            </w:r>
          </w:p>
        </w:tc>
      </w:tr>
      <w:tr w:rsidR="003B51E5" w:rsidRPr="003B51E5" w:rsidTr="003B51E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b/>
                <w:bCs/>
                <w:sz w:val="24"/>
                <w:szCs w:val="24"/>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No comprende el problema.</w:t>
            </w:r>
          </w:p>
        </w:tc>
      </w:tr>
      <w:tr w:rsidR="003B51E5" w:rsidRPr="003B51E5" w:rsidTr="003B51E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jc w:val="center"/>
              <w:rPr>
                <w:rFonts w:ascii="Times New Roman" w:eastAsia="Times New Roman" w:hAnsi="Times New Roman" w:cs="Times New Roman"/>
                <w:sz w:val="24"/>
                <w:szCs w:val="24"/>
                <w:lang w:eastAsia="es-ES"/>
              </w:rPr>
            </w:pPr>
            <w:r w:rsidRPr="003B51E5">
              <w:rPr>
                <w:rFonts w:ascii="Times New Roman" w:eastAsia="Times New Roman" w:hAnsi="Times New Roman" w:cs="Times New Roman"/>
                <w:b/>
                <w:bCs/>
                <w:sz w:val="24"/>
                <w:szCs w:val="24"/>
                <w:lang w:eastAsia="es-ES"/>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51E5" w:rsidRPr="003B51E5" w:rsidRDefault="003B51E5" w:rsidP="003B51E5">
            <w:pPr>
              <w:spacing w:after="0" w:line="240" w:lineRule="auto"/>
              <w:rPr>
                <w:rFonts w:ascii="Times New Roman" w:eastAsia="Times New Roman" w:hAnsi="Times New Roman" w:cs="Times New Roman"/>
                <w:sz w:val="24"/>
                <w:szCs w:val="24"/>
                <w:lang w:eastAsia="es-ES"/>
              </w:rPr>
            </w:pPr>
            <w:r w:rsidRPr="003B51E5">
              <w:rPr>
                <w:rFonts w:ascii="Times New Roman" w:eastAsia="Times New Roman" w:hAnsi="Times New Roman" w:cs="Times New Roman"/>
                <w:sz w:val="24"/>
                <w:szCs w:val="24"/>
                <w:lang w:eastAsia="es-ES"/>
              </w:rPr>
              <w:t>No responde. No intentó hacer la tarea.</w:t>
            </w:r>
          </w:p>
        </w:tc>
      </w:tr>
    </w:tbl>
    <w:p w:rsidR="003B51E5" w:rsidRPr="003B51E5" w:rsidRDefault="003B51E5" w:rsidP="003B51E5">
      <w:pPr>
        <w:shd w:val="clear" w:color="auto" w:fill="D9EDF7"/>
        <w:spacing w:after="300" w:line="240" w:lineRule="auto"/>
        <w:rPr>
          <w:rFonts w:ascii="Asap" w:eastAsia="Times New Roman" w:hAnsi="Asap" w:cs="Times New Roman"/>
          <w:color w:val="31708F"/>
          <w:sz w:val="18"/>
          <w:szCs w:val="18"/>
          <w:lang w:eastAsia="es-ES"/>
        </w:rPr>
      </w:pPr>
      <w:r w:rsidRPr="003B51E5">
        <w:rPr>
          <w:rFonts w:ascii="Asap" w:eastAsia="Times New Roman" w:hAnsi="Asap" w:cs="Times New Roman"/>
          <w:b/>
          <w:bCs/>
          <w:color w:val="31708F"/>
          <w:sz w:val="18"/>
          <w:szCs w:val="18"/>
          <w:lang w:eastAsia="es-ES"/>
        </w:rPr>
        <w:lastRenderedPageBreak/>
        <w:t>EJEMPLOS DE RÚBRICA</w:t>
      </w:r>
    </w:p>
    <w:p w:rsidR="003B51E5" w:rsidRPr="003B51E5" w:rsidRDefault="003B51E5" w:rsidP="003B51E5">
      <w:pPr>
        <w:numPr>
          <w:ilvl w:val="0"/>
          <w:numId w:val="3"/>
        </w:numPr>
        <w:shd w:val="clear" w:color="auto" w:fill="D9EDF7"/>
        <w:spacing w:before="100" w:beforeAutospacing="1" w:after="100" w:afterAutospacing="1" w:line="300" w:lineRule="atLeast"/>
        <w:ind w:left="375"/>
        <w:rPr>
          <w:rFonts w:ascii="Asap" w:eastAsia="Times New Roman" w:hAnsi="Asap" w:cs="Times New Roman"/>
          <w:color w:val="31708F"/>
          <w:sz w:val="18"/>
          <w:szCs w:val="18"/>
          <w:lang w:eastAsia="es-ES"/>
        </w:rPr>
      </w:pPr>
      <w:r w:rsidRPr="003B51E5">
        <w:rPr>
          <w:rFonts w:ascii="Asap" w:eastAsia="Times New Roman" w:hAnsi="Asap" w:cs="Times New Roman"/>
          <w:color w:val="31708F"/>
          <w:sz w:val="18"/>
          <w:szCs w:val="18"/>
          <w:lang w:eastAsia="es-ES"/>
        </w:rPr>
        <w:t xml:space="preserve">Aunque no esté absolutamente vinculada con todas las áreas de Primaria, no deja de resultar sorprendente una ¡aplicación web para hacer rúbricas! Se llama </w:t>
      </w:r>
      <w:proofErr w:type="spellStart"/>
      <w:r w:rsidRPr="003B51E5">
        <w:rPr>
          <w:rFonts w:ascii="Asap" w:eastAsia="Times New Roman" w:hAnsi="Asap" w:cs="Times New Roman"/>
          <w:color w:val="31708F"/>
          <w:sz w:val="18"/>
          <w:szCs w:val="18"/>
          <w:lang w:eastAsia="es-ES"/>
        </w:rPr>
        <w:t>Rubistar</w:t>
      </w:r>
      <w:proofErr w:type="spellEnd"/>
      <w:r w:rsidRPr="003B51E5">
        <w:rPr>
          <w:rFonts w:ascii="Asap" w:eastAsia="Times New Roman" w:hAnsi="Asap" w:cs="Times New Roman"/>
          <w:color w:val="31708F"/>
          <w:sz w:val="18"/>
          <w:szCs w:val="18"/>
          <w:lang w:eastAsia="es-ES"/>
        </w:rPr>
        <w:t xml:space="preserve"> y recomendamos no perdérsela: </w:t>
      </w:r>
      <w:hyperlink r:id="rId13" w:tgtFrame="_blank" w:tooltip="Rubistar" w:history="1">
        <w:r w:rsidRPr="003B51E5">
          <w:rPr>
            <w:rFonts w:ascii="Asap" w:eastAsia="Times New Roman" w:hAnsi="Asap" w:cs="Times New Roman"/>
            <w:color w:val="0077B7"/>
            <w:sz w:val="18"/>
            <w:szCs w:val="18"/>
            <w:lang w:eastAsia="es-ES"/>
          </w:rPr>
          <w:t>http://rubistar.4teachers.org/index.php</w:t>
        </w:r>
      </w:hyperlink>
    </w:p>
    <w:p w:rsidR="003B51E5" w:rsidRPr="003B51E5" w:rsidRDefault="003B51E5" w:rsidP="003B51E5">
      <w:pPr>
        <w:numPr>
          <w:ilvl w:val="0"/>
          <w:numId w:val="3"/>
        </w:numPr>
        <w:shd w:val="clear" w:color="auto" w:fill="D9EDF7"/>
        <w:spacing w:before="100" w:beforeAutospacing="1" w:after="100" w:afterAutospacing="1" w:line="300" w:lineRule="atLeast"/>
        <w:ind w:left="375"/>
        <w:rPr>
          <w:rFonts w:ascii="Asap" w:eastAsia="Times New Roman" w:hAnsi="Asap" w:cs="Times New Roman"/>
          <w:color w:val="31708F"/>
          <w:sz w:val="18"/>
          <w:szCs w:val="18"/>
          <w:lang w:eastAsia="es-ES"/>
        </w:rPr>
      </w:pPr>
      <w:r w:rsidRPr="003B51E5">
        <w:rPr>
          <w:rFonts w:ascii="Asap" w:eastAsia="Times New Roman" w:hAnsi="Asap" w:cs="Times New Roman"/>
          <w:color w:val="31708F"/>
          <w:sz w:val="18"/>
          <w:szCs w:val="18"/>
          <w:lang w:eastAsia="es-ES"/>
        </w:rPr>
        <w:t>En la Unidad Didáctica Integrada que presentamos en </w:t>
      </w:r>
      <w:hyperlink r:id="rId14" w:tgtFrame="_blank" w:tooltip="Ejemplo Unidad didáctica LOMCE basada en estándares" w:history="1">
        <w:r w:rsidRPr="003B51E5">
          <w:rPr>
            <w:rFonts w:ascii="Asap" w:eastAsia="Times New Roman" w:hAnsi="Asap" w:cs="Times New Roman"/>
            <w:color w:val="0077B7"/>
            <w:sz w:val="18"/>
            <w:szCs w:val="18"/>
            <w:lang w:eastAsia="es-ES"/>
          </w:rPr>
          <w:t>el artículo referido anteriormente</w:t>
        </w:r>
      </w:hyperlink>
      <w:r w:rsidRPr="003B51E5">
        <w:rPr>
          <w:rFonts w:ascii="Asap" w:eastAsia="Times New Roman" w:hAnsi="Asap" w:cs="Times New Roman"/>
          <w:color w:val="31708F"/>
          <w:sz w:val="18"/>
          <w:szCs w:val="18"/>
          <w:lang w:eastAsia="es-ES"/>
        </w:rPr>
        <w:t>, a partir de la página 14 se muestra ejemplo de una rúbrica, que detalla en la columna izda. aspectos generales a evaluar y en la siguiente los estándares. A partir de ahí, escalas de valoración.</w:t>
      </w:r>
    </w:p>
    <w:p w:rsidR="003B51E5" w:rsidRPr="003B51E5" w:rsidRDefault="003B51E5" w:rsidP="003B51E5">
      <w:pPr>
        <w:numPr>
          <w:ilvl w:val="0"/>
          <w:numId w:val="3"/>
        </w:numPr>
        <w:shd w:val="clear" w:color="auto" w:fill="D9EDF7"/>
        <w:spacing w:before="100" w:beforeAutospacing="1" w:after="100" w:afterAutospacing="1" w:line="300" w:lineRule="atLeast"/>
        <w:ind w:left="375"/>
        <w:rPr>
          <w:rFonts w:ascii="Asap" w:eastAsia="Times New Roman" w:hAnsi="Asap" w:cs="Times New Roman"/>
          <w:color w:val="31708F"/>
          <w:sz w:val="18"/>
          <w:szCs w:val="18"/>
          <w:lang w:eastAsia="es-ES"/>
        </w:rPr>
      </w:pPr>
      <w:r w:rsidRPr="003B51E5">
        <w:rPr>
          <w:rFonts w:ascii="Asap" w:eastAsia="Times New Roman" w:hAnsi="Asap" w:cs="Times New Roman"/>
          <w:color w:val="31708F"/>
          <w:sz w:val="18"/>
          <w:szCs w:val="18"/>
          <w:lang w:eastAsia="es-ES"/>
        </w:rPr>
        <w:t>En este otro blog dependiente del MEC, se utilizan varias </w:t>
      </w:r>
      <w:hyperlink r:id="rId15" w:tgtFrame="_blank" w:tooltip="Rúbricas" w:history="1">
        <w:r w:rsidRPr="003B51E5">
          <w:rPr>
            <w:rFonts w:ascii="Asap" w:eastAsia="Times New Roman" w:hAnsi="Asap" w:cs="Times New Roman"/>
            <w:color w:val="0077B7"/>
            <w:sz w:val="18"/>
            <w:szCs w:val="18"/>
            <w:lang w:eastAsia="es-ES"/>
          </w:rPr>
          <w:t>rúbricas para evaluar un blog de aula</w:t>
        </w:r>
      </w:hyperlink>
      <w:r w:rsidRPr="003B51E5">
        <w:rPr>
          <w:rFonts w:ascii="Asap" w:eastAsia="Times New Roman" w:hAnsi="Asap" w:cs="Times New Roman"/>
          <w:color w:val="31708F"/>
          <w:sz w:val="18"/>
          <w:szCs w:val="18"/>
          <w:lang w:eastAsia="es-ES"/>
        </w:rPr>
        <w:t> que nos pueden servir como buen ejemplo.</w:t>
      </w:r>
    </w:p>
    <w:p w:rsidR="008F6F48" w:rsidRDefault="003B51E5"/>
    <w:sectPr w:rsidR="008F6F48" w:rsidSect="003B51E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BC1"/>
    <w:multiLevelType w:val="multilevel"/>
    <w:tmpl w:val="FDB83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9F5FFA"/>
    <w:multiLevelType w:val="multilevel"/>
    <w:tmpl w:val="7496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B608E7"/>
    <w:multiLevelType w:val="multilevel"/>
    <w:tmpl w:val="5488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E5"/>
    <w:rsid w:val="003B51E5"/>
    <w:rsid w:val="00C72140"/>
    <w:rsid w:val="00F74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5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1E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3B51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B51E5"/>
    <w:rPr>
      <w:color w:val="0000FF"/>
      <w:u w:val="single"/>
    </w:rPr>
  </w:style>
  <w:style w:type="character" w:styleId="nfasis">
    <w:name w:val="Emphasis"/>
    <w:basedOn w:val="Fuentedeprrafopredeter"/>
    <w:uiPriority w:val="20"/>
    <w:qFormat/>
    <w:rsid w:val="003B51E5"/>
    <w:rPr>
      <w:i/>
      <w:iCs/>
    </w:rPr>
  </w:style>
  <w:style w:type="character" w:customStyle="1" w:styleId="apple-converted-space">
    <w:name w:val="apple-converted-space"/>
    <w:basedOn w:val="Fuentedeprrafopredeter"/>
    <w:rsid w:val="003B51E5"/>
  </w:style>
  <w:style w:type="character" w:styleId="Textoennegrita">
    <w:name w:val="Strong"/>
    <w:basedOn w:val="Fuentedeprrafopredeter"/>
    <w:uiPriority w:val="22"/>
    <w:qFormat/>
    <w:rsid w:val="003B51E5"/>
    <w:rPr>
      <w:b/>
      <w:bCs/>
    </w:rPr>
  </w:style>
  <w:style w:type="paragraph" w:styleId="Textodeglobo">
    <w:name w:val="Balloon Text"/>
    <w:basedOn w:val="Normal"/>
    <w:link w:val="TextodegloboCar"/>
    <w:uiPriority w:val="99"/>
    <w:semiHidden/>
    <w:unhideWhenUsed/>
    <w:rsid w:val="003B51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5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1E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3B51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B51E5"/>
    <w:rPr>
      <w:color w:val="0000FF"/>
      <w:u w:val="single"/>
    </w:rPr>
  </w:style>
  <w:style w:type="character" w:styleId="nfasis">
    <w:name w:val="Emphasis"/>
    <w:basedOn w:val="Fuentedeprrafopredeter"/>
    <w:uiPriority w:val="20"/>
    <w:qFormat/>
    <w:rsid w:val="003B51E5"/>
    <w:rPr>
      <w:i/>
      <w:iCs/>
    </w:rPr>
  </w:style>
  <w:style w:type="character" w:customStyle="1" w:styleId="apple-converted-space">
    <w:name w:val="apple-converted-space"/>
    <w:basedOn w:val="Fuentedeprrafopredeter"/>
    <w:rsid w:val="003B51E5"/>
  </w:style>
  <w:style w:type="character" w:styleId="Textoennegrita">
    <w:name w:val="Strong"/>
    <w:basedOn w:val="Fuentedeprrafopredeter"/>
    <w:uiPriority w:val="22"/>
    <w:qFormat/>
    <w:rsid w:val="003B51E5"/>
    <w:rPr>
      <w:b/>
      <w:bCs/>
    </w:rPr>
  </w:style>
  <w:style w:type="paragraph" w:styleId="Textodeglobo">
    <w:name w:val="Balloon Text"/>
    <w:basedOn w:val="Normal"/>
    <w:link w:val="TextodegloboCar"/>
    <w:uiPriority w:val="99"/>
    <w:semiHidden/>
    <w:unhideWhenUsed/>
    <w:rsid w:val="003B51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06553">
      <w:bodyDiv w:val="1"/>
      <w:marLeft w:val="0"/>
      <w:marRight w:val="0"/>
      <w:marTop w:val="0"/>
      <w:marBottom w:val="0"/>
      <w:divBdr>
        <w:top w:val="none" w:sz="0" w:space="0" w:color="auto"/>
        <w:left w:val="none" w:sz="0" w:space="0" w:color="auto"/>
        <w:bottom w:val="none" w:sz="0" w:space="0" w:color="auto"/>
        <w:right w:val="none" w:sz="0" w:space="0" w:color="auto"/>
      </w:divBdr>
      <w:divsChild>
        <w:div w:id="1473013133">
          <w:marLeft w:val="0"/>
          <w:marRight w:val="0"/>
          <w:marTop w:val="0"/>
          <w:marBottom w:val="0"/>
          <w:divBdr>
            <w:top w:val="none" w:sz="0" w:space="0" w:color="auto"/>
            <w:left w:val="none" w:sz="0" w:space="0" w:color="auto"/>
            <w:bottom w:val="none" w:sz="0" w:space="0" w:color="auto"/>
            <w:right w:val="none" w:sz="0" w:space="0" w:color="auto"/>
          </w:divBdr>
          <w:divsChild>
            <w:div w:id="815685590">
              <w:marLeft w:val="0"/>
              <w:marRight w:val="0"/>
              <w:marTop w:val="150"/>
              <w:marBottom w:val="150"/>
              <w:divBdr>
                <w:top w:val="none" w:sz="0" w:space="0" w:color="auto"/>
                <w:left w:val="none" w:sz="0" w:space="0" w:color="auto"/>
                <w:bottom w:val="none" w:sz="0" w:space="0" w:color="auto"/>
                <w:right w:val="none" w:sz="0" w:space="0" w:color="auto"/>
              </w:divBdr>
            </w:div>
            <w:div w:id="1680691186">
              <w:marLeft w:val="0"/>
              <w:marRight w:val="-225"/>
              <w:marTop w:val="0"/>
              <w:marBottom w:val="0"/>
              <w:divBdr>
                <w:top w:val="none" w:sz="0" w:space="0" w:color="auto"/>
                <w:left w:val="none" w:sz="0" w:space="0" w:color="auto"/>
                <w:bottom w:val="none" w:sz="0" w:space="0" w:color="auto"/>
                <w:right w:val="none" w:sz="0" w:space="0" w:color="auto"/>
              </w:divBdr>
              <w:divsChild>
                <w:div w:id="1588882449">
                  <w:marLeft w:val="0"/>
                  <w:marRight w:val="0"/>
                  <w:marTop w:val="0"/>
                  <w:marBottom w:val="0"/>
                  <w:divBdr>
                    <w:top w:val="none" w:sz="0" w:space="0" w:color="auto"/>
                    <w:left w:val="none" w:sz="0" w:space="0" w:color="auto"/>
                    <w:bottom w:val="none" w:sz="0" w:space="0" w:color="auto"/>
                    <w:right w:val="none" w:sz="0" w:space="0" w:color="auto"/>
                  </w:divBdr>
                  <w:divsChild>
                    <w:div w:id="1358122979">
                      <w:marLeft w:val="0"/>
                      <w:marRight w:val="0"/>
                      <w:marTop w:val="0"/>
                      <w:marBottom w:val="0"/>
                      <w:divBdr>
                        <w:top w:val="none" w:sz="0" w:space="0" w:color="auto"/>
                        <w:left w:val="none" w:sz="0" w:space="0" w:color="auto"/>
                        <w:bottom w:val="none" w:sz="0" w:space="0" w:color="auto"/>
                        <w:right w:val="none" w:sz="0" w:space="0" w:color="auto"/>
                      </w:divBdr>
                      <w:divsChild>
                        <w:div w:id="2003192996">
                          <w:marLeft w:val="0"/>
                          <w:marRight w:val="0"/>
                          <w:marTop w:val="0"/>
                          <w:marBottom w:val="0"/>
                          <w:divBdr>
                            <w:top w:val="none" w:sz="0" w:space="0" w:color="auto"/>
                            <w:left w:val="none" w:sz="0" w:space="0" w:color="auto"/>
                            <w:bottom w:val="none" w:sz="0" w:space="0" w:color="auto"/>
                            <w:right w:val="none" w:sz="0" w:space="0" w:color="auto"/>
                          </w:divBdr>
                          <w:divsChild>
                            <w:div w:id="1874879958">
                              <w:marLeft w:val="0"/>
                              <w:marRight w:val="0"/>
                              <w:marTop w:val="0"/>
                              <w:marBottom w:val="525"/>
                              <w:divBdr>
                                <w:top w:val="none" w:sz="0" w:space="0" w:color="auto"/>
                                <w:left w:val="none" w:sz="0" w:space="0" w:color="auto"/>
                                <w:bottom w:val="none" w:sz="0" w:space="0" w:color="auto"/>
                                <w:right w:val="none" w:sz="0" w:space="0" w:color="auto"/>
                              </w:divBdr>
                              <w:divsChild>
                                <w:div w:id="10838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88042">
              <w:marLeft w:val="0"/>
              <w:marRight w:val="-225"/>
              <w:marTop w:val="0"/>
              <w:marBottom w:val="0"/>
              <w:divBdr>
                <w:top w:val="none" w:sz="0" w:space="0" w:color="auto"/>
                <w:left w:val="none" w:sz="0" w:space="0" w:color="auto"/>
                <w:bottom w:val="none" w:sz="0" w:space="0" w:color="auto"/>
                <w:right w:val="none" w:sz="0" w:space="0" w:color="auto"/>
              </w:divBdr>
              <w:divsChild>
                <w:div w:id="917136164">
                  <w:marLeft w:val="0"/>
                  <w:marRight w:val="0"/>
                  <w:marTop w:val="0"/>
                  <w:marBottom w:val="0"/>
                  <w:divBdr>
                    <w:top w:val="none" w:sz="0" w:space="0" w:color="auto"/>
                    <w:left w:val="none" w:sz="0" w:space="0" w:color="auto"/>
                    <w:bottom w:val="none" w:sz="0" w:space="0" w:color="auto"/>
                    <w:right w:val="none" w:sz="0" w:space="0" w:color="auto"/>
                  </w:divBdr>
                  <w:divsChild>
                    <w:div w:id="1188300818">
                      <w:marLeft w:val="0"/>
                      <w:marRight w:val="0"/>
                      <w:marTop w:val="0"/>
                      <w:marBottom w:val="0"/>
                      <w:divBdr>
                        <w:top w:val="none" w:sz="0" w:space="0" w:color="auto"/>
                        <w:left w:val="none" w:sz="0" w:space="0" w:color="auto"/>
                        <w:bottom w:val="none" w:sz="0" w:space="0" w:color="auto"/>
                        <w:right w:val="none" w:sz="0" w:space="0" w:color="auto"/>
                      </w:divBdr>
                      <w:divsChild>
                        <w:div w:id="495800894">
                          <w:marLeft w:val="0"/>
                          <w:marRight w:val="0"/>
                          <w:marTop w:val="0"/>
                          <w:marBottom w:val="0"/>
                          <w:divBdr>
                            <w:top w:val="none" w:sz="0" w:space="0" w:color="auto"/>
                            <w:left w:val="none" w:sz="0" w:space="0" w:color="auto"/>
                            <w:bottom w:val="none" w:sz="0" w:space="0" w:color="auto"/>
                            <w:right w:val="none" w:sz="0" w:space="0" w:color="auto"/>
                          </w:divBdr>
                          <w:divsChild>
                            <w:div w:id="1216894993">
                              <w:marLeft w:val="0"/>
                              <w:marRight w:val="0"/>
                              <w:marTop w:val="0"/>
                              <w:marBottom w:val="525"/>
                              <w:divBdr>
                                <w:top w:val="none" w:sz="0" w:space="0" w:color="auto"/>
                                <w:left w:val="none" w:sz="0" w:space="0" w:color="auto"/>
                                <w:bottom w:val="none" w:sz="0" w:space="0" w:color="auto"/>
                                <w:right w:val="none" w:sz="0" w:space="0" w:color="auto"/>
                              </w:divBdr>
                              <w:divsChild>
                                <w:div w:id="392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49621">
                  <w:marLeft w:val="0"/>
                  <w:marRight w:val="0"/>
                  <w:marTop w:val="0"/>
                  <w:marBottom w:val="0"/>
                  <w:divBdr>
                    <w:top w:val="none" w:sz="0" w:space="0" w:color="auto"/>
                    <w:left w:val="none" w:sz="0" w:space="0" w:color="auto"/>
                    <w:bottom w:val="none" w:sz="0" w:space="0" w:color="auto"/>
                    <w:right w:val="none" w:sz="0" w:space="0" w:color="auto"/>
                  </w:divBdr>
                  <w:divsChild>
                    <w:div w:id="1375228897">
                      <w:marLeft w:val="0"/>
                      <w:marRight w:val="0"/>
                      <w:marTop w:val="0"/>
                      <w:marBottom w:val="0"/>
                      <w:divBdr>
                        <w:top w:val="none" w:sz="0" w:space="0" w:color="auto"/>
                        <w:left w:val="none" w:sz="0" w:space="0" w:color="auto"/>
                        <w:bottom w:val="none" w:sz="0" w:space="0" w:color="auto"/>
                        <w:right w:val="none" w:sz="0" w:space="0" w:color="auto"/>
                      </w:divBdr>
                      <w:divsChild>
                        <w:div w:id="1425029476">
                          <w:marLeft w:val="0"/>
                          <w:marRight w:val="0"/>
                          <w:marTop w:val="0"/>
                          <w:marBottom w:val="0"/>
                          <w:divBdr>
                            <w:top w:val="none" w:sz="0" w:space="0" w:color="auto"/>
                            <w:left w:val="none" w:sz="0" w:space="0" w:color="auto"/>
                            <w:bottom w:val="none" w:sz="0" w:space="0" w:color="auto"/>
                            <w:right w:val="none" w:sz="0" w:space="0" w:color="auto"/>
                          </w:divBdr>
                          <w:divsChild>
                            <w:div w:id="383217444">
                              <w:marLeft w:val="0"/>
                              <w:marRight w:val="0"/>
                              <w:marTop w:val="0"/>
                              <w:marBottom w:val="326"/>
                              <w:divBdr>
                                <w:top w:val="single" w:sz="6" w:space="12" w:color="D6E9C6"/>
                                <w:left w:val="single" w:sz="6" w:space="31" w:color="D6E9C6"/>
                                <w:bottom w:val="single" w:sz="6" w:space="12" w:color="D6E9C6"/>
                                <w:right w:val="single" w:sz="6" w:space="12" w:color="D6E9C6"/>
                              </w:divBdr>
                            </w:div>
                          </w:divsChild>
                        </w:div>
                      </w:divsChild>
                    </w:div>
                  </w:divsChild>
                </w:div>
              </w:divsChild>
            </w:div>
            <w:div w:id="1828203459">
              <w:marLeft w:val="0"/>
              <w:marRight w:val="-225"/>
              <w:marTop w:val="0"/>
              <w:marBottom w:val="0"/>
              <w:divBdr>
                <w:top w:val="none" w:sz="0" w:space="0" w:color="auto"/>
                <w:left w:val="none" w:sz="0" w:space="0" w:color="auto"/>
                <w:bottom w:val="none" w:sz="0" w:space="0" w:color="auto"/>
                <w:right w:val="none" w:sz="0" w:space="0" w:color="auto"/>
              </w:divBdr>
              <w:divsChild>
                <w:div w:id="1097601588">
                  <w:marLeft w:val="0"/>
                  <w:marRight w:val="0"/>
                  <w:marTop w:val="0"/>
                  <w:marBottom w:val="0"/>
                  <w:divBdr>
                    <w:top w:val="none" w:sz="0" w:space="0" w:color="auto"/>
                    <w:left w:val="none" w:sz="0" w:space="0" w:color="auto"/>
                    <w:bottom w:val="none" w:sz="0" w:space="0" w:color="auto"/>
                    <w:right w:val="none" w:sz="0" w:space="0" w:color="auto"/>
                  </w:divBdr>
                  <w:divsChild>
                    <w:div w:id="1875923228">
                      <w:marLeft w:val="0"/>
                      <w:marRight w:val="0"/>
                      <w:marTop w:val="0"/>
                      <w:marBottom w:val="0"/>
                      <w:divBdr>
                        <w:top w:val="none" w:sz="0" w:space="0" w:color="auto"/>
                        <w:left w:val="none" w:sz="0" w:space="0" w:color="auto"/>
                        <w:bottom w:val="none" w:sz="0" w:space="0" w:color="auto"/>
                        <w:right w:val="none" w:sz="0" w:space="0" w:color="auto"/>
                      </w:divBdr>
                      <w:divsChild>
                        <w:div w:id="654115056">
                          <w:marLeft w:val="0"/>
                          <w:marRight w:val="0"/>
                          <w:marTop w:val="0"/>
                          <w:marBottom w:val="0"/>
                          <w:divBdr>
                            <w:top w:val="none" w:sz="0" w:space="0" w:color="auto"/>
                            <w:left w:val="none" w:sz="0" w:space="0" w:color="auto"/>
                            <w:bottom w:val="none" w:sz="0" w:space="0" w:color="auto"/>
                            <w:right w:val="none" w:sz="0" w:space="0" w:color="auto"/>
                          </w:divBdr>
                          <w:divsChild>
                            <w:div w:id="574438051">
                              <w:marLeft w:val="0"/>
                              <w:marRight w:val="0"/>
                              <w:marTop w:val="0"/>
                              <w:marBottom w:val="525"/>
                              <w:divBdr>
                                <w:top w:val="none" w:sz="0" w:space="0" w:color="auto"/>
                                <w:left w:val="none" w:sz="0" w:space="0" w:color="auto"/>
                                <w:bottom w:val="none" w:sz="0" w:space="0" w:color="auto"/>
                                <w:right w:val="none" w:sz="0" w:space="0" w:color="auto"/>
                              </w:divBdr>
                              <w:divsChild>
                                <w:div w:id="8188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5655">
              <w:marLeft w:val="0"/>
              <w:marRight w:val="-225"/>
              <w:marTop w:val="0"/>
              <w:marBottom w:val="0"/>
              <w:divBdr>
                <w:top w:val="none" w:sz="0" w:space="0" w:color="auto"/>
                <w:left w:val="none" w:sz="0" w:space="0" w:color="auto"/>
                <w:bottom w:val="none" w:sz="0" w:space="0" w:color="auto"/>
                <w:right w:val="none" w:sz="0" w:space="0" w:color="auto"/>
              </w:divBdr>
              <w:divsChild>
                <w:div w:id="1205212799">
                  <w:marLeft w:val="0"/>
                  <w:marRight w:val="0"/>
                  <w:marTop w:val="0"/>
                  <w:marBottom w:val="0"/>
                  <w:divBdr>
                    <w:top w:val="none" w:sz="0" w:space="0" w:color="auto"/>
                    <w:left w:val="none" w:sz="0" w:space="0" w:color="auto"/>
                    <w:bottom w:val="none" w:sz="0" w:space="0" w:color="auto"/>
                    <w:right w:val="none" w:sz="0" w:space="0" w:color="auto"/>
                  </w:divBdr>
                  <w:divsChild>
                    <w:div w:id="1639610415">
                      <w:marLeft w:val="0"/>
                      <w:marRight w:val="0"/>
                      <w:marTop w:val="0"/>
                      <w:marBottom w:val="0"/>
                      <w:divBdr>
                        <w:top w:val="none" w:sz="0" w:space="0" w:color="auto"/>
                        <w:left w:val="none" w:sz="0" w:space="0" w:color="auto"/>
                        <w:bottom w:val="none" w:sz="0" w:space="0" w:color="auto"/>
                        <w:right w:val="none" w:sz="0" w:space="0" w:color="auto"/>
                      </w:divBdr>
                      <w:divsChild>
                        <w:div w:id="1593390206">
                          <w:marLeft w:val="0"/>
                          <w:marRight w:val="0"/>
                          <w:marTop w:val="0"/>
                          <w:marBottom w:val="0"/>
                          <w:divBdr>
                            <w:top w:val="none" w:sz="0" w:space="0" w:color="auto"/>
                            <w:left w:val="none" w:sz="0" w:space="0" w:color="auto"/>
                            <w:bottom w:val="none" w:sz="0" w:space="0" w:color="auto"/>
                            <w:right w:val="none" w:sz="0" w:space="0" w:color="auto"/>
                          </w:divBdr>
                          <w:divsChild>
                            <w:div w:id="600719180">
                              <w:marLeft w:val="0"/>
                              <w:marRight w:val="0"/>
                              <w:marTop w:val="0"/>
                              <w:marBottom w:val="326"/>
                              <w:divBdr>
                                <w:top w:val="single" w:sz="6" w:space="12" w:color="BCE8F1"/>
                                <w:left w:val="single" w:sz="6" w:space="31" w:color="BCE8F1"/>
                                <w:bottom w:val="single" w:sz="6" w:space="12" w:color="BCE8F1"/>
                                <w:right w:val="single" w:sz="6" w:space="12" w:color="BCE8F1"/>
                              </w:divBdr>
                            </w:div>
                          </w:divsChild>
                        </w:div>
                      </w:divsChild>
                    </w:div>
                  </w:divsChild>
                </w:div>
              </w:divsChild>
            </w:div>
          </w:divsChild>
        </w:div>
      </w:divsChild>
    </w:div>
    <w:div w:id="1990940584">
      <w:bodyDiv w:val="1"/>
      <w:marLeft w:val="0"/>
      <w:marRight w:val="0"/>
      <w:marTop w:val="0"/>
      <w:marBottom w:val="0"/>
      <w:divBdr>
        <w:top w:val="none" w:sz="0" w:space="0" w:color="auto"/>
        <w:left w:val="none" w:sz="0" w:space="0" w:color="auto"/>
        <w:bottom w:val="none" w:sz="0" w:space="0" w:color="auto"/>
        <w:right w:val="none" w:sz="0" w:space="0" w:color="auto"/>
      </w:divBdr>
      <w:divsChild>
        <w:div w:id="945887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elcorreogallego.es/gigasdetiza/2014/04/07/los-estandares-de-aprendizaje-y-los-criterios-de-evaluacion/" TargetMode="External"/><Relationship Id="rId13" Type="http://schemas.openxmlformats.org/officeDocument/2006/relationships/hyperlink" Target="http://rubistar.4teachers.org/index.php" TargetMode="External"/><Relationship Id="rId3" Type="http://schemas.microsoft.com/office/2007/relationships/stylesWithEffects" Target="stylesWithEffects.xml"/><Relationship Id="rId7" Type="http://schemas.openxmlformats.org/officeDocument/2006/relationships/hyperlink" Target="http://blogs.elcorreogallego.es/gigasdetiza/2014/03/05/nuevos-curriculos-de-primaria/" TargetMode="External"/><Relationship Id="rId12" Type="http://schemas.openxmlformats.org/officeDocument/2006/relationships/hyperlink" Target="http://blogs.elcorreogallego.es/gigasdetiza/2014/09/11/curriculum-primaria-lomce-competencias-cla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og.fernandotrujillo.es/revision-del-real-decreto-primaria/" TargetMode="External"/><Relationship Id="rId11" Type="http://schemas.openxmlformats.org/officeDocument/2006/relationships/hyperlink" Target="http://blogs.elcorreogallego.es/gigasdetiza/2014/09/12/curriculum-primaria-lomce-areas-de-conocimiento/" TargetMode="External"/><Relationship Id="rId5" Type="http://schemas.openxmlformats.org/officeDocument/2006/relationships/webSettings" Target="webSettings.xml"/><Relationship Id="rId15" Type="http://schemas.openxmlformats.org/officeDocument/2006/relationships/hyperlink" Target="http://cedec.ite.educacion.es/kubyx/88-uso-de-rubricas-en-el-blog-de-aula" TargetMode="External"/><Relationship Id="rId10" Type="http://schemas.openxmlformats.org/officeDocument/2006/relationships/hyperlink" Target="http://blogs.elcorreogallego.es/gigasdetiza/2014/04/07/los-estandares-de-aprendizaje-y-los-criterios-de-evaluacion/" TargetMode="External"/><Relationship Id="rId4" Type="http://schemas.openxmlformats.org/officeDocument/2006/relationships/settings" Target="settings.xml"/><Relationship Id="rId9" Type="http://schemas.openxmlformats.org/officeDocument/2006/relationships/hyperlink" Target="http://blogs.elcorreogallego.es/gigasdetiza/2014/09/11/ejemplo-unidad-didactica-lomce-basada-en-estandares/" TargetMode="External"/><Relationship Id="rId14" Type="http://schemas.openxmlformats.org/officeDocument/2006/relationships/hyperlink" Target="http://blogs.elcorreogallego.es/gigasdetiza/2014/09/11/ejemplo-unidad-didactica-lomce-basada-en-estand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1307</Words>
  <Characters>7193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12</dc:creator>
  <cp:lastModifiedBy>Aula 12</cp:lastModifiedBy>
  <cp:revision>1</cp:revision>
  <dcterms:created xsi:type="dcterms:W3CDTF">2017-04-04T15:45:00Z</dcterms:created>
  <dcterms:modified xsi:type="dcterms:W3CDTF">2017-04-04T15:53:00Z</dcterms:modified>
</cp:coreProperties>
</file>