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BF" w:rsidRPr="00136FBF" w:rsidRDefault="00136FBF" w:rsidP="00136FBF">
      <w:pPr>
        <w:shd w:val="clear" w:color="auto" w:fill="FFFFFF"/>
        <w:spacing w:after="0"/>
        <w:ind w:left="240" w:right="240"/>
        <w:jc w:val="center"/>
        <w:rPr>
          <w:rFonts w:ascii="Arial" w:eastAsia="Times New Roman" w:hAnsi="Arial" w:cs="Arial"/>
          <w:b/>
          <w:color w:val="2F2F2F"/>
          <w:sz w:val="18"/>
          <w:szCs w:val="18"/>
          <w:lang w:eastAsia="es-ES"/>
        </w:rPr>
      </w:pPr>
      <w:r w:rsidRPr="00136FBF">
        <w:rPr>
          <w:rFonts w:ascii="Arial" w:eastAsia="Times New Roman" w:hAnsi="Arial" w:cs="Arial"/>
          <w:b/>
          <w:color w:val="2F2F2F"/>
          <w:sz w:val="18"/>
          <w:szCs w:val="18"/>
          <w:lang w:eastAsia="es-ES"/>
        </w:rPr>
        <w:t>AUTONOMÍA DE LOS CENTROS CON LA LOMCE</w:t>
      </w:r>
    </w:p>
    <w:p w:rsidR="00136FBF" w:rsidRDefault="00136FBF" w:rsidP="00136FBF">
      <w:pPr>
        <w:shd w:val="clear" w:color="auto" w:fill="FFFFFF"/>
        <w:spacing w:after="0"/>
        <w:ind w:left="240" w:right="240"/>
        <w:jc w:val="both"/>
        <w:rPr>
          <w:rFonts w:ascii="Arial" w:eastAsia="Times New Roman" w:hAnsi="Arial" w:cs="Arial"/>
          <w:color w:val="2F2F2F"/>
          <w:sz w:val="18"/>
          <w:szCs w:val="18"/>
          <w:lang w:eastAsia="es-ES"/>
        </w:rPr>
      </w:pPr>
    </w:p>
    <w:p w:rsidR="00136FBF" w:rsidRPr="00136FBF" w:rsidRDefault="00136FBF" w:rsidP="00136FBF">
      <w:pPr>
        <w:shd w:val="clear" w:color="auto" w:fill="FFFFFF"/>
        <w:spacing w:after="0"/>
        <w:ind w:left="240" w:right="240"/>
        <w:jc w:val="both"/>
        <w:rPr>
          <w:rFonts w:ascii="Arial" w:eastAsia="Times New Roman" w:hAnsi="Arial" w:cs="Arial"/>
          <w:color w:val="2F2F2F"/>
          <w:sz w:val="18"/>
          <w:szCs w:val="18"/>
          <w:lang w:eastAsia="es-ES"/>
        </w:rPr>
      </w:pPr>
      <w:r w:rsidRPr="00136FBF">
        <w:rPr>
          <w:rFonts w:ascii="Arial" w:eastAsia="Times New Roman" w:hAnsi="Arial" w:cs="Arial"/>
          <w:color w:val="2F2F2F"/>
          <w:sz w:val="18"/>
          <w:szCs w:val="18"/>
          <w:lang w:eastAsia="es-ES"/>
        </w:rPr>
        <w:t>El aumento de la </w:t>
      </w:r>
      <w:r w:rsidRPr="00136FBF">
        <w:rPr>
          <w:rFonts w:ascii="Arial" w:eastAsia="Times New Roman" w:hAnsi="Arial" w:cs="Arial"/>
          <w:b/>
          <w:bCs/>
          <w:color w:val="2F2F2F"/>
          <w:sz w:val="18"/>
          <w:szCs w:val="18"/>
          <w:lang w:eastAsia="es-ES"/>
        </w:rPr>
        <w:t>autonomía de los centros</w:t>
      </w:r>
      <w:r w:rsidRPr="00136FBF">
        <w:rPr>
          <w:rFonts w:ascii="Arial" w:eastAsia="Times New Roman" w:hAnsi="Arial" w:cs="Arial"/>
          <w:color w:val="2F2F2F"/>
          <w:sz w:val="18"/>
          <w:szCs w:val="18"/>
          <w:lang w:eastAsia="es-ES"/>
        </w:rPr>
        <w:t xml:space="preserve"> es una recomendación reiterada de la OCDE para mejorar los resultados de los mismos, necesariamente unida a la exigencia de una mayor transparencia en la rendición de cuentas. Pese a la reiteración formal de la LOE sobre la importancia de la autonomía, las encuestas internacionales siguen marcando este factor como un déficit de nuestro sistema. Es necesario que cada centro tenga la capacidad de identificar cuáles son sus fortalezas y las necesidades de su entorno, para así poder tomar decisiones sobre cómo mejorar su oferta educativa y metodológica en ese ámbito, en relación directa, cuando corresponda por su naturaleza, con la estrategia de la administración educativa. Esta responsabilidad llevará </w:t>
      </w:r>
      <w:proofErr w:type="gramStart"/>
      <w:r w:rsidRPr="00136FBF">
        <w:rPr>
          <w:rFonts w:ascii="Arial" w:eastAsia="Times New Roman" w:hAnsi="Arial" w:cs="Arial"/>
          <w:color w:val="2F2F2F"/>
          <w:sz w:val="18"/>
          <w:szCs w:val="18"/>
          <w:lang w:eastAsia="es-ES"/>
        </w:rPr>
        <w:t>aparejada</w:t>
      </w:r>
      <w:proofErr w:type="gramEnd"/>
      <w:r w:rsidRPr="00136FBF">
        <w:rPr>
          <w:rFonts w:ascii="Arial" w:eastAsia="Times New Roman" w:hAnsi="Arial" w:cs="Arial"/>
          <w:color w:val="2F2F2F"/>
          <w:sz w:val="18"/>
          <w:szCs w:val="18"/>
          <w:lang w:eastAsia="es-ES"/>
        </w:rPr>
        <w:t xml:space="preserve"> la exigencia de demostrar que los recursos públicos se han utilizado de forma eficiente y que han conducido a una mejora real de los resultados. La autonomía de los centros es una puerta abierta a la atención a la diversidad de los alumnos y alumnas, que mantiene la cohesión y unidad del sistema y abre nuevas posibilidades de cooperación entre los centros y de creación de redes de apoyo y aprendizaje compartido.</w:t>
      </w:r>
    </w:p>
    <w:p w:rsidR="00136FBF" w:rsidRDefault="00136FBF" w:rsidP="00136FBF">
      <w:pPr>
        <w:shd w:val="clear" w:color="auto" w:fill="FFFFFF"/>
        <w:spacing w:after="0"/>
        <w:ind w:left="240" w:right="240"/>
        <w:jc w:val="both"/>
        <w:rPr>
          <w:rFonts w:ascii="Arial" w:eastAsia="Times New Roman" w:hAnsi="Arial" w:cs="Arial"/>
          <w:color w:val="2F2F2F"/>
          <w:sz w:val="18"/>
          <w:szCs w:val="18"/>
          <w:lang w:eastAsia="es-ES"/>
        </w:rPr>
      </w:pPr>
      <w:r w:rsidRPr="00136FBF">
        <w:rPr>
          <w:rFonts w:ascii="Arial" w:eastAsia="Times New Roman" w:hAnsi="Arial" w:cs="Arial"/>
          <w:color w:val="2F2F2F"/>
          <w:sz w:val="18"/>
          <w:szCs w:val="18"/>
          <w:lang w:eastAsia="es-ES"/>
        </w:rPr>
        <w:t>LOMCE contribuye también a </w:t>
      </w:r>
      <w:r w:rsidRPr="00136FBF">
        <w:rPr>
          <w:rFonts w:ascii="Arial" w:eastAsia="Times New Roman" w:hAnsi="Arial" w:cs="Arial"/>
          <w:b/>
          <w:bCs/>
          <w:color w:val="2F2F2F"/>
          <w:sz w:val="18"/>
          <w:szCs w:val="18"/>
          <w:lang w:eastAsia="es-ES"/>
        </w:rPr>
        <w:t>reforzar la capacidad de gestión de la dirección de los centros,</w:t>
      </w:r>
      <w:r w:rsidRPr="00136FBF">
        <w:rPr>
          <w:rFonts w:ascii="Arial" w:eastAsia="Times New Roman" w:hAnsi="Arial" w:cs="Arial"/>
          <w:color w:val="2F2F2F"/>
          <w:sz w:val="18"/>
          <w:szCs w:val="18"/>
          <w:lang w:eastAsia="es-ES"/>
        </w:rPr>
        <w:t> confiriendo a los directores, como representantes que son de la Administración educativa en el centro y como responsables del proyecto educativo, la oportunidad de ejercer un mayor liderazgo pedagógico y de gestión. Por otro lado, se potencia la función directiva a través de un sistema de certificación previa para acceder al puesto de director, y se establece un protocolo para rendir cuentas de las decisiones tomadas, de las acciones de calidad y de los resultados obtenidos al implementarlas. Pocas áreas de la administración tienen la complejidad y el tamaño que tiene la red de centros públicos educativos, siendo conscientes de su dificultad y del esfuerzo que supone para sus responsables, mejorar su gestión es un reto ineludible para el sistema.</w:t>
      </w:r>
    </w:p>
    <w:p w:rsidR="00136FBF" w:rsidRPr="00136FBF" w:rsidRDefault="00136FBF" w:rsidP="00136FBF">
      <w:pPr>
        <w:shd w:val="clear" w:color="auto" w:fill="FFFFFF"/>
        <w:spacing w:after="0"/>
        <w:ind w:left="240" w:right="240"/>
        <w:jc w:val="both"/>
        <w:rPr>
          <w:rFonts w:ascii="Arial" w:eastAsia="Times New Roman" w:hAnsi="Arial" w:cs="Arial"/>
          <w:color w:val="2F2F2F"/>
          <w:sz w:val="18"/>
          <w:szCs w:val="18"/>
          <w:lang w:eastAsia="es-ES"/>
        </w:rPr>
      </w:pPr>
      <w:bookmarkStart w:id="0" w:name="_GoBack"/>
      <w:bookmarkEnd w:id="0"/>
    </w:p>
    <w:p w:rsidR="00136FBF" w:rsidRPr="00136FBF" w:rsidRDefault="00136FBF" w:rsidP="00136FBF">
      <w:pPr>
        <w:shd w:val="clear" w:color="auto" w:fill="FFFFFF"/>
        <w:spacing w:after="0"/>
        <w:ind w:left="240" w:right="240"/>
        <w:jc w:val="center"/>
        <w:rPr>
          <w:rFonts w:ascii="Arial" w:eastAsia="Times New Roman" w:hAnsi="Arial" w:cs="Arial"/>
          <w:color w:val="2F2F2F"/>
          <w:sz w:val="18"/>
          <w:szCs w:val="18"/>
          <w:lang w:eastAsia="es-ES"/>
        </w:rPr>
      </w:pPr>
      <w:hyperlink r:id="rId6" w:tooltip="Modalidades de autonomía. Fichero en PDF, se abre en ventana nueva" w:history="1">
        <w:r w:rsidRPr="00136FBF">
          <w:rPr>
            <w:rFonts w:ascii="Arial" w:eastAsia="Times New Roman" w:hAnsi="Arial" w:cs="Arial"/>
            <w:b/>
            <w:bCs/>
            <w:color w:val="1D7474"/>
            <w:sz w:val="18"/>
            <w:szCs w:val="18"/>
            <w:u w:val="single"/>
            <w:lang w:eastAsia="es-ES"/>
          </w:rPr>
          <w:t>Modalidades de autonomía de los centr</w:t>
        </w:r>
      </w:hyperlink>
      <w:hyperlink r:id="rId7" w:tooltip="Modalidades de autonomía. Fichero en PDF, se abre en ventana nueva" w:history="1">
        <w:r w:rsidRPr="00136FBF">
          <w:rPr>
            <w:rFonts w:ascii="Arial" w:eastAsia="Times New Roman" w:hAnsi="Arial" w:cs="Arial"/>
            <w:b/>
            <w:bCs/>
            <w:color w:val="1D7474"/>
            <w:sz w:val="18"/>
            <w:szCs w:val="18"/>
            <w:u w:val="single"/>
            <w:lang w:eastAsia="es-ES"/>
          </w:rPr>
          <w:t>os</w:t>
        </w:r>
      </w:hyperlink>
      <w:r w:rsidRPr="00136FBF">
        <w:rPr>
          <w:rFonts w:ascii="Arial" w:eastAsia="Times New Roman" w:hAnsi="Arial" w:cs="Arial"/>
          <w:b/>
          <w:bCs/>
          <w:color w:val="2F2F2F"/>
          <w:sz w:val="18"/>
          <w:szCs w:val="18"/>
          <w:lang w:eastAsia="es-ES"/>
        </w:rPr>
        <w:t> </w:t>
      </w:r>
      <w:r>
        <w:rPr>
          <w:rFonts w:ascii="Arial" w:eastAsia="Times New Roman" w:hAnsi="Arial" w:cs="Arial"/>
          <w:b/>
          <w:bCs/>
          <w:noProof/>
          <w:color w:val="2F2F2F"/>
          <w:sz w:val="18"/>
          <w:szCs w:val="18"/>
          <w:lang w:eastAsia="es-ES"/>
        </w:rPr>
        <w:drawing>
          <wp:inline distT="0" distB="0" distL="0" distR="0" wp14:anchorId="62BE2D69" wp14:editId="34E0F547">
            <wp:extent cx="123190" cy="123190"/>
            <wp:effectExtent l="0" t="0" r="0" b="0"/>
            <wp:docPr id="4" name="Imagen 4" descr="http://www.mecd.gob.es/docroot/fckeditor/images/smiley/educacion-ico/ico-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cd.gob.es/docroot/fckeditor/images/smiley/educacion-ico/ico-pd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p w:rsidR="00136FBF" w:rsidRPr="00136FBF" w:rsidRDefault="00136FBF" w:rsidP="00136FBF">
      <w:pPr>
        <w:shd w:val="clear" w:color="auto" w:fill="FFFFFF"/>
        <w:rPr>
          <w:rFonts w:ascii="Arial" w:eastAsia="Times New Roman" w:hAnsi="Arial" w:cs="Arial"/>
          <w:color w:val="000000"/>
          <w:sz w:val="27"/>
          <w:szCs w:val="27"/>
          <w:lang w:eastAsia="es-ES"/>
        </w:rPr>
      </w:pPr>
      <w:r>
        <w:rPr>
          <w:rFonts w:ascii="Arial" w:eastAsia="Times New Roman" w:hAnsi="Arial" w:cs="Arial"/>
          <w:noProof/>
          <w:color w:val="1D7474"/>
          <w:sz w:val="27"/>
          <w:szCs w:val="27"/>
          <w:lang w:eastAsia="es-ES"/>
        </w:rPr>
        <w:drawing>
          <wp:inline distT="0" distB="0" distL="0" distR="0" wp14:anchorId="352E805B" wp14:editId="53FEFB8C">
            <wp:extent cx="6435711" cy="1911927"/>
            <wp:effectExtent l="0" t="0" r="3810" b="0"/>
            <wp:docPr id="3" name="Imagen 3" descr="Modalidades de autonomía de los centros , se abre en ventana nueva">
              <a:hlinkClick xmlns:a="http://schemas.openxmlformats.org/drawingml/2006/main" r:id="rId9" tooltip="&quot;Modalidades de autonomía de los centros , se abre en ventana nue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alidades de autonomía de los centros , se abre en ventana nueva">
                      <a:hlinkClick r:id="rId9" tooltip="&quot;Modalidades de autonomía de los centros , se abre en ventana nuev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7511" cy="1915433"/>
                    </a:xfrm>
                    <a:prstGeom prst="rect">
                      <a:avLst/>
                    </a:prstGeom>
                    <a:noFill/>
                    <a:ln>
                      <a:noFill/>
                    </a:ln>
                  </pic:spPr>
                </pic:pic>
              </a:graphicData>
            </a:graphic>
          </wp:inline>
        </w:drawing>
      </w:r>
    </w:p>
    <w:p w:rsidR="00136FBF" w:rsidRDefault="00136FBF" w:rsidP="00136FBF">
      <w:pPr>
        <w:shd w:val="clear" w:color="auto" w:fill="FFFFFF"/>
        <w:spacing w:after="0"/>
        <w:ind w:left="240" w:right="240"/>
        <w:jc w:val="both"/>
        <w:rPr>
          <w:rFonts w:ascii="Arial" w:eastAsia="Times New Roman" w:hAnsi="Arial" w:cs="Arial"/>
          <w:color w:val="2F2F2F"/>
          <w:sz w:val="18"/>
          <w:szCs w:val="18"/>
          <w:lang w:eastAsia="es-ES"/>
        </w:rPr>
      </w:pPr>
    </w:p>
    <w:p w:rsidR="00136FBF" w:rsidRPr="00136FBF" w:rsidRDefault="00136FBF" w:rsidP="00136FBF">
      <w:pPr>
        <w:shd w:val="clear" w:color="auto" w:fill="FFFFFF"/>
        <w:spacing w:after="0"/>
        <w:ind w:left="240" w:right="240"/>
        <w:jc w:val="both"/>
        <w:rPr>
          <w:rFonts w:ascii="Arial" w:eastAsia="Times New Roman" w:hAnsi="Arial" w:cs="Arial"/>
          <w:color w:val="2F2F2F"/>
          <w:sz w:val="18"/>
          <w:szCs w:val="18"/>
          <w:lang w:eastAsia="es-ES"/>
        </w:rPr>
      </w:pPr>
      <w:r w:rsidRPr="00136FBF">
        <w:rPr>
          <w:rFonts w:ascii="Arial" w:eastAsia="Times New Roman" w:hAnsi="Arial" w:cs="Arial"/>
          <w:color w:val="2F2F2F"/>
          <w:sz w:val="18"/>
          <w:szCs w:val="18"/>
          <w:lang w:eastAsia="es-ES"/>
        </w:rPr>
        <w:t>Las </w:t>
      </w:r>
      <w:r w:rsidRPr="00136FBF">
        <w:rPr>
          <w:rFonts w:ascii="Arial" w:eastAsia="Times New Roman" w:hAnsi="Arial" w:cs="Arial"/>
          <w:b/>
          <w:bCs/>
          <w:color w:val="2F2F2F"/>
          <w:sz w:val="18"/>
          <w:szCs w:val="18"/>
          <w:lang w:eastAsia="es-ES"/>
        </w:rPr>
        <w:t>Administraciones educativas</w:t>
      </w:r>
      <w:r w:rsidRPr="00136FBF">
        <w:rPr>
          <w:rFonts w:ascii="Arial" w:eastAsia="Times New Roman" w:hAnsi="Arial" w:cs="Arial"/>
          <w:color w:val="2F2F2F"/>
          <w:sz w:val="18"/>
          <w:szCs w:val="18"/>
          <w:lang w:eastAsia="es-ES"/>
        </w:rPr>
        <w:t> fomentarán y potenciarán la autonomía de los centros, evaluarán sus resultados y aplicarán los oportunos planes de actuación.</w:t>
      </w:r>
    </w:p>
    <w:p w:rsidR="00136FBF" w:rsidRPr="00136FBF" w:rsidRDefault="00136FBF" w:rsidP="00136FBF">
      <w:pPr>
        <w:shd w:val="clear" w:color="auto" w:fill="FFFFFF"/>
        <w:spacing w:after="0"/>
        <w:ind w:left="240" w:right="240"/>
        <w:jc w:val="both"/>
        <w:rPr>
          <w:rFonts w:ascii="Arial" w:eastAsia="Times New Roman" w:hAnsi="Arial" w:cs="Arial"/>
          <w:color w:val="2F2F2F"/>
          <w:sz w:val="18"/>
          <w:szCs w:val="18"/>
          <w:lang w:eastAsia="es-ES"/>
        </w:rPr>
      </w:pPr>
      <w:r w:rsidRPr="00136FBF">
        <w:rPr>
          <w:rFonts w:ascii="Arial" w:eastAsia="Times New Roman" w:hAnsi="Arial" w:cs="Arial"/>
          <w:color w:val="2F2F2F"/>
          <w:sz w:val="18"/>
          <w:szCs w:val="18"/>
          <w:lang w:eastAsia="es-ES"/>
        </w:rPr>
        <w:t>Los </w:t>
      </w:r>
      <w:r w:rsidRPr="00136FBF">
        <w:rPr>
          <w:rFonts w:ascii="Arial" w:eastAsia="Times New Roman" w:hAnsi="Arial" w:cs="Arial"/>
          <w:b/>
          <w:bCs/>
          <w:color w:val="2F2F2F"/>
          <w:sz w:val="18"/>
          <w:szCs w:val="18"/>
          <w:lang w:eastAsia="es-ES"/>
        </w:rPr>
        <w:t>centros docentes</w:t>
      </w:r>
      <w:r w:rsidRPr="00136FBF">
        <w:rPr>
          <w:rFonts w:ascii="Arial" w:eastAsia="Times New Roman" w:hAnsi="Arial" w:cs="Arial"/>
          <w:color w:val="2F2F2F"/>
          <w:sz w:val="18"/>
          <w:szCs w:val="18"/>
          <w:lang w:eastAsia="es-ES"/>
        </w:rPr>
        <w:t> desarrollarán y complementarán, en su caso, el currículo de las diferentes etapas y ciclos en uso de su autonomía, tal y como se recoge en el capítulo II del título V de la presente Ley.</w:t>
      </w:r>
    </w:p>
    <w:p w:rsidR="00136FBF" w:rsidRPr="00136FBF" w:rsidRDefault="00136FBF" w:rsidP="00136FBF">
      <w:pPr>
        <w:shd w:val="clear" w:color="auto" w:fill="FFFFFF"/>
        <w:spacing w:after="0"/>
        <w:ind w:left="240" w:right="240"/>
        <w:jc w:val="both"/>
        <w:rPr>
          <w:rFonts w:ascii="Arial" w:eastAsia="Times New Roman" w:hAnsi="Arial" w:cs="Arial"/>
          <w:color w:val="2F2F2F"/>
          <w:sz w:val="18"/>
          <w:szCs w:val="18"/>
          <w:lang w:eastAsia="es-ES"/>
        </w:rPr>
      </w:pPr>
      <w:r w:rsidRPr="00136FBF">
        <w:rPr>
          <w:rFonts w:ascii="Arial" w:eastAsia="Times New Roman" w:hAnsi="Arial" w:cs="Arial"/>
          <w:color w:val="2F2F2F"/>
          <w:sz w:val="18"/>
          <w:szCs w:val="18"/>
          <w:lang w:eastAsia="es-ES"/>
        </w:rPr>
        <w:t>Tanto el </w:t>
      </w:r>
      <w:hyperlink r:id="rId11" w:tooltip="Real Decreto 126/2014, de 28 de febrero, por el que se establece el currículo básico de la Educación Primaria. , se abre en ventana nueva" w:history="1">
        <w:r w:rsidRPr="00136FBF">
          <w:rPr>
            <w:rFonts w:ascii="Arial" w:eastAsia="Times New Roman" w:hAnsi="Arial" w:cs="Arial"/>
            <w:i/>
            <w:iCs/>
            <w:color w:val="1D7474"/>
            <w:sz w:val="18"/>
            <w:szCs w:val="18"/>
            <w:u w:val="single"/>
            <w:lang w:eastAsia="es-ES"/>
          </w:rPr>
          <w:t>Real Decreto 126/2014, de 28 de febrero, por el que se establece el currículo básico de la Educación Primaria</w:t>
        </w:r>
      </w:hyperlink>
      <w:r w:rsidRPr="00136FBF">
        <w:rPr>
          <w:rFonts w:ascii="Arial" w:eastAsia="Times New Roman" w:hAnsi="Arial" w:cs="Arial"/>
          <w:color w:val="2F2F2F"/>
          <w:sz w:val="18"/>
          <w:szCs w:val="18"/>
          <w:lang w:eastAsia="es-ES"/>
        </w:rPr>
        <w:t> </w:t>
      </w:r>
      <w:r>
        <w:rPr>
          <w:rFonts w:ascii="Arial" w:eastAsia="Times New Roman" w:hAnsi="Arial" w:cs="Arial"/>
          <w:noProof/>
          <w:color w:val="2F2F2F"/>
          <w:sz w:val="18"/>
          <w:szCs w:val="18"/>
          <w:lang w:eastAsia="es-ES"/>
        </w:rPr>
        <w:drawing>
          <wp:inline distT="0" distB="0" distL="0" distR="0" wp14:anchorId="7805178D" wp14:editId="7665796D">
            <wp:extent cx="151765" cy="134620"/>
            <wp:effectExtent l="0" t="0" r="635" b="0"/>
            <wp:docPr id="2" name="Imagen 2" descr="http://www.mecd.gob.es/docroot/fckeditor/images/smiley/educacion-ico/ico-inter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cd.gob.es/docroot/fckeditor/images/smiley/educacion-ico/ico-interne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 cy="134620"/>
                    </a:xfrm>
                    <a:prstGeom prst="rect">
                      <a:avLst/>
                    </a:prstGeom>
                    <a:noFill/>
                    <a:ln>
                      <a:noFill/>
                    </a:ln>
                  </pic:spPr>
                </pic:pic>
              </a:graphicData>
            </a:graphic>
          </wp:inline>
        </w:drawing>
      </w:r>
      <w:r w:rsidRPr="00136FBF">
        <w:rPr>
          <w:rFonts w:ascii="Arial" w:eastAsia="Times New Roman" w:hAnsi="Arial" w:cs="Arial"/>
          <w:color w:val="2F2F2F"/>
          <w:sz w:val="18"/>
          <w:szCs w:val="18"/>
          <w:lang w:eastAsia="es-ES"/>
        </w:rPr>
        <w:t>, como el </w:t>
      </w:r>
      <w:hyperlink r:id="rId13" w:tooltip="Real Decreto 1105/2014, de 26 de diciembre, por el que se establece el currículo básico de la Educación Secundaria Obligatoria y del Bachillerato, se abre en ventana nueva" w:history="1">
        <w:r w:rsidRPr="00136FBF">
          <w:rPr>
            <w:rFonts w:ascii="Arial" w:eastAsia="Times New Roman" w:hAnsi="Arial" w:cs="Arial"/>
            <w:i/>
            <w:iCs/>
            <w:color w:val="1D7474"/>
            <w:sz w:val="18"/>
            <w:szCs w:val="18"/>
            <w:u w:val="single"/>
            <w:lang w:eastAsia="es-ES"/>
          </w:rPr>
          <w:t>Real Decreto 1105/2014, de 26 de diciembre, por el que se establece el currículo básico de la Educación Secundaria Obligatoria y del Bachillerato</w:t>
        </w:r>
      </w:hyperlink>
      <w:r w:rsidRPr="00136FBF">
        <w:rPr>
          <w:rFonts w:ascii="Arial" w:eastAsia="Times New Roman" w:hAnsi="Arial" w:cs="Arial"/>
          <w:color w:val="2F2F2F"/>
          <w:sz w:val="18"/>
          <w:szCs w:val="18"/>
          <w:lang w:eastAsia="es-ES"/>
        </w:rPr>
        <w:t> </w:t>
      </w:r>
      <w:r>
        <w:rPr>
          <w:rFonts w:ascii="Arial" w:eastAsia="Times New Roman" w:hAnsi="Arial" w:cs="Arial"/>
          <w:noProof/>
          <w:color w:val="2F2F2F"/>
          <w:sz w:val="18"/>
          <w:szCs w:val="18"/>
          <w:lang w:eastAsia="es-ES"/>
        </w:rPr>
        <w:drawing>
          <wp:inline distT="0" distB="0" distL="0" distR="0" wp14:anchorId="2DF03885" wp14:editId="73B50BC6">
            <wp:extent cx="151765" cy="134620"/>
            <wp:effectExtent l="0" t="0" r="635" b="0"/>
            <wp:docPr id="1" name="Imagen 1" descr="http://www.mecd.gob.es/docroot/fckeditor/images/smiley/educacion-ico/ico-inter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cd.gob.es/docroot/fckeditor/images/smiley/educacion-ico/ico-interne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 cy="134620"/>
                    </a:xfrm>
                    <a:prstGeom prst="rect">
                      <a:avLst/>
                    </a:prstGeom>
                    <a:noFill/>
                    <a:ln>
                      <a:noFill/>
                    </a:ln>
                  </pic:spPr>
                </pic:pic>
              </a:graphicData>
            </a:graphic>
          </wp:inline>
        </w:drawing>
      </w:r>
      <w:r w:rsidRPr="00136FBF">
        <w:rPr>
          <w:rFonts w:ascii="Arial" w:eastAsia="Times New Roman" w:hAnsi="Arial" w:cs="Arial"/>
          <w:color w:val="2F2F2F"/>
          <w:sz w:val="18"/>
          <w:szCs w:val="18"/>
          <w:lang w:eastAsia="es-ES"/>
        </w:rPr>
        <w:t> contemplan en su articulado apartados dedicados a este tema:</w:t>
      </w:r>
    </w:p>
    <w:p w:rsidR="00136FBF" w:rsidRPr="00136FBF" w:rsidRDefault="00136FBF" w:rsidP="00136FBF">
      <w:pPr>
        <w:numPr>
          <w:ilvl w:val="0"/>
          <w:numId w:val="1"/>
        </w:numPr>
        <w:shd w:val="clear" w:color="auto" w:fill="FFFFFF"/>
        <w:spacing w:before="96" w:after="96"/>
        <w:ind w:left="672" w:right="216"/>
        <w:jc w:val="both"/>
        <w:rPr>
          <w:rFonts w:ascii="Arial" w:eastAsia="Times New Roman" w:hAnsi="Arial" w:cs="Arial"/>
          <w:color w:val="2F2F2F"/>
          <w:sz w:val="18"/>
          <w:szCs w:val="18"/>
          <w:lang w:eastAsia="es-ES"/>
        </w:rPr>
      </w:pPr>
      <w:r w:rsidRPr="00136FBF">
        <w:rPr>
          <w:rFonts w:ascii="Arial" w:eastAsia="Times New Roman" w:hAnsi="Arial" w:cs="Arial"/>
          <w:color w:val="2F2F2F"/>
          <w:sz w:val="18"/>
          <w:szCs w:val="18"/>
          <w:lang w:eastAsia="es-ES"/>
        </w:rPr>
        <w:t>Las Administraciones educativas fomentarán la autonomía pedagógica y organizativa de los centros, favorecerán el trabajo en equipo del profesorado y estimularán la actividad investigadora a partir de su práctica docente.</w:t>
      </w:r>
    </w:p>
    <w:p w:rsidR="00136FBF" w:rsidRPr="00136FBF" w:rsidRDefault="00136FBF" w:rsidP="00136FBF">
      <w:pPr>
        <w:numPr>
          <w:ilvl w:val="0"/>
          <w:numId w:val="1"/>
        </w:numPr>
        <w:shd w:val="clear" w:color="auto" w:fill="FFFFFF"/>
        <w:spacing w:before="96" w:after="96"/>
        <w:ind w:left="672" w:right="216"/>
        <w:jc w:val="both"/>
        <w:rPr>
          <w:rFonts w:ascii="Arial" w:eastAsia="Times New Roman" w:hAnsi="Arial" w:cs="Arial"/>
          <w:color w:val="2F2F2F"/>
          <w:sz w:val="18"/>
          <w:szCs w:val="18"/>
          <w:lang w:eastAsia="es-ES"/>
        </w:rPr>
      </w:pPr>
      <w:r w:rsidRPr="00136FBF">
        <w:rPr>
          <w:rFonts w:ascii="Arial" w:eastAsia="Times New Roman" w:hAnsi="Arial" w:cs="Arial"/>
          <w:color w:val="2F2F2F"/>
          <w:sz w:val="18"/>
          <w:szCs w:val="18"/>
          <w:lang w:eastAsia="es-ES"/>
        </w:rPr>
        <w:t>Los centros docentes desarrollarán y complementarán, en su caso, el currículo y las medidas de atención a la diversidad establecidas por las Administraciones educativas, adaptándolas a las características del alumnado y a su realidad educativa con el fin de atender a todo el alumnado. Asimismo, arbitrarán métodos que tengan en cuenta los diferentes ritmos de aprendizaje del alumnado, favorezcan la capacidad de aprender por sí mismos y promuevan el trabajo en equipo.</w:t>
      </w:r>
    </w:p>
    <w:p w:rsidR="00136FBF" w:rsidRPr="00136FBF" w:rsidRDefault="00136FBF" w:rsidP="00136FBF">
      <w:pPr>
        <w:numPr>
          <w:ilvl w:val="0"/>
          <w:numId w:val="1"/>
        </w:numPr>
        <w:shd w:val="clear" w:color="auto" w:fill="FFFFFF"/>
        <w:spacing w:before="96" w:after="96"/>
        <w:ind w:left="672" w:right="216"/>
        <w:jc w:val="both"/>
        <w:rPr>
          <w:rFonts w:ascii="Arial" w:eastAsia="Times New Roman" w:hAnsi="Arial" w:cs="Arial"/>
          <w:color w:val="2F2F2F"/>
          <w:sz w:val="18"/>
          <w:szCs w:val="18"/>
          <w:lang w:eastAsia="es-ES"/>
        </w:rPr>
      </w:pPr>
      <w:r w:rsidRPr="00136FBF">
        <w:rPr>
          <w:rFonts w:ascii="Arial" w:eastAsia="Times New Roman" w:hAnsi="Arial" w:cs="Arial"/>
          <w:color w:val="2F2F2F"/>
          <w:sz w:val="18"/>
          <w:szCs w:val="18"/>
          <w:lang w:eastAsia="es-ES"/>
        </w:rPr>
        <w:t>Los centros promoverán, asimismo, compromisos con las familias y con los propios alumnos y alumnas en los que se especifiquen las actividades que unos y otros se comprometen a desarrollar para facilitar el progreso educativo.</w:t>
      </w:r>
    </w:p>
    <w:p w:rsidR="008F6F48" w:rsidRDefault="00136FBF" w:rsidP="00136FBF"/>
    <w:sectPr w:rsidR="008F6F48" w:rsidSect="00136FB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1E2"/>
    <w:multiLevelType w:val="multilevel"/>
    <w:tmpl w:val="CD5C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BF"/>
    <w:rsid w:val="00136FBF"/>
    <w:rsid w:val="00C72140"/>
    <w:rsid w:val="00F74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36FBF"/>
  </w:style>
  <w:style w:type="character" w:styleId="Textoennegrita">
    <w:name w:val="Strong"/>
    <w:basedOn w:val="Fuentedeprrafopredeter"/>
    <w:uiPriority w:val="22"/>
    <w:qFormat/>
    <w:rsid w:val="00136FBF"/>
    <w:rPr>
      <w:b/>
      <w:bCs/>
    </w:rPr>
  </w:style>
  <w:style w:type="paragraph" w:styleId="NormalWeb">
    <w:name w:val="Normal (Web)"/>
    <w:basedOn w:val="Normal"/>
    <w:uiPriority w:val="99"/>
    <w:semiHidden/>
    <w:unhideWhenUsed/>
    <w:rsid w:val="00136F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36FBF"/>
    <w:rPr>
      <w:color w:val="0000FF"/>
      <w:u w:val="single"/>
    </w:rPr>
  </w:style>
  <w:style w:type="character" w:styleId="nfasis">
    <w:name w:val="Emphasis"/>
    <w:basedOn w:val="Fuentedeprrafopredeter"/>
    <w:uiPriority w:val="20"/>
    <w:qFormat/>
    <w:rsid w:val="00136FBF"/>
    <w:rPr>
      <w:i/>
      <w:iCs/>
    </w:rPr>
  </w:style>
  <w:style w:type="paragraph" w:styleId="Textodeglobo">
    <w:name w:val="Balloon Text"/>
    <w:basedOn w:val="Normal"/>
    <w:link w:val="TextodegloboCar"/>
    <w:uiPriority w:val="99"/>
    <w:semiHidden/>
    <w:unhideWhenUsed/>
    <w:rsid w:val="00136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36FBF"/>
  </w:style>
  <w:style w:type="character" w:styleId="Textoennegrita">
    <w:name w:val="Strong"/>
    <w:basedOn w:val="Fuentedeprrafopredeter"/>
    <w:uiPriority w:val="22"/>
    <w:qFormat/>
    <w:rsid w:val="00136FBF"/>
    <w:rPr>
      <w:b/>
      <w:bCs/>
    </w:rPr>
  </w:style>
  <w:style w:type="paragraph" w:styleId="NormalWeb">
    <w:name w:val="Normal (Web)"/>
    <w:basedOn w:val="Normal"/>
    <w:uiPriority w:val="99"/>
    <w:semiHidden/>
    <w:unhideWhenUsed/>
    <w:rsid w:val="00136F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36FBF"/>
    <w:rPr>
      <w:color w:val="0000FF"/>
      <w:u w:val="single"/>
    </w:rPr>
  </w:style>
  <w:style w:type="character" w:styleId="nfasis">
    <w:name w:val="Emphasis"/>
    <w:basedOn w:val="Fuentedeprrafopredeter"/>
    <w:uiPriority w:val="20"/>
    <w:qFormat/>
    <w:rsid w:val="00136FBF"/>
    <w:rPr>
      <w:i/>
      <w:iCs/>
    </w:rPr>
  </w:style>
  <w:style w:type="paragraph" w:styleId="Textodeglobo">
    <w:name w:val="Balloon Text"/>
    <w:basedOn w:val="Normal"/>
    <w:link w:val="TextodegloboCar"/>
    <w:uiPriority w:val="99"/>
    <w:semiHidden/>
    <w:unhideWhenUsed/>
    <w:rsid w:val="00136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4343">
      <w:bodyDiv w:val="1"/>
      <w:marLeft w:val="0"/>
      <w:marRight w:val="0"/>
      <w:marTop w:val="0"/>
      <w:marBottom w:val="0"/>
      <w:divBdr>
        <w:top w:val="none" w:sz="0" w:space="0" w:color="auto"/>
        <w:left w:val="none" w:sz="0" w:space="0" w:color="auto"/>
        <w:bottom w:val="none" w:sz="0" w:space="0" w:color="auto"/>
        <w:right w:val="none" w:sz="0" w:space="0" w:color="auto"/>
      </w:divBdr>
      <w:divsChild>
        <w:div w:id="307903792">
          <w:marLeft w:val="12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boe.es/diario_boe/txt.php?id=BOE-A-2015-37" TargetMode="External"/><Relationship Id="rId3" Type="http://schemas.microsoft.com/office/2007/relationships/stylesWithEffects" Target="stylesWithEffects.xml"/><Relationship Id="rId7" Type="http://schemas.openxmlformats.org/officeDocument/2006/relationships/hyperlink" Target="http://www.mecd.gob.es/educacion-mecd/dms/mecd/educacion-mecd/mc/lomce/autonomia-centros/modalidades-de-autonom-a/modalidades%20de%20autonom%C3%ADa.pdf"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d.gob.es/educacion-mecd/dms/mecd/educacion-mecd/mc/lomce/autonomia-centros/modalidades-de-autonom-a/modalidades%20de%20autonom%C3%ADa.pdf" TargetMode="External"/><Relationship Id="rId11" Type="http://schemas.openxmlformats.org/officeDocument/2006/relationships/hyperlink" Target="http://www.boe.es/buscar/doc.php?id=BOE-A-2014-22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ecd.gob.es/dms/mecd/educacion-mecd/mc/lomce/autonomia-centros/modalidades-autonomia/modalidades-autonomia.p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12</dc:creator>
  <cp:lastModifiedBy>Aula 12</cp:lastModifiedBy>
  <cp:revision>1</cp:revision>
  <dcterms:created xsi:type="dcterms:W3CDTF">2017-04-04T15:23:00Z</dcterms:created>
  <dcterms:modified xsi:type="dcterms:W3CDTF">2017-04-04T15:27:00Z</dcterms:modified>
</cp:coreProperties>
</file>