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F8" w:rsidRDefault="004B4C82">
      <w:pPr>
        <w:rPr>
          <w:b/>
          <w:i/>
          <w:u w:val="single"/>
        </w:rPr>
      </w:pPr>
      <w:r>
        <w:rPr>
          <w:b/>
          <w:i/>
          <w:noProof/>
          <w:u w:val="single"/>
          <w:lang w:eastAsia="es-ES"/>
        </w:rPr>
        <w:pict>
          <v:rect id="Rectangle 3" o:spid="_x0000_s1026" style="position:absolute;margin-left:-7.3pt;margin-top:-56.1pt;width:707.25pt;height:4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1MBgMAAG0HAAAOAAAAZHJzL2Uyb0RvYy54bWy0Vdtu1DAQfUfiHyy/0+yV7q6aVtBSQGpp&#10;1Rbx7HWcxMKxU9t74+s5trPbpSAoiOYhGs+M5+bj46OTdaPIUlgnjc5p/6BHidDcFFJXOf18d/5q&#10;QonzTBdMGS1yuhGOnhy/fHG0amdiYGqjCmEJgmg3W7U5rb1vZ1nmeC0a5g5MKzSMpbEN81jaKiss&#10;WyF6o7JBr/c6WxlbtNZw4Ry0Z8lIj2P8shTcX5WlE56onKI2H/82/ufhnx0fsVllWVtL3pXB/qGK&#10;hkmNpLtQZ8wzsrDyp1CN5NY4U/oDbprMlKXkIvaAbvq9R93c1qwVsRcMx7W7Mbn/F5Z/Wl5bIguc&#10;HSWaNTiiGwyN6UoJMgzjWbVuBq/b9tqGBl17YfhXB0P2gyUsHHzIfHVpCoRhC2/iSNalbcJONEvW&#10;cfKb3eTF2hMO5WQ6GfQOx5Rw2MaTwWA6DrkzNtvubq3z74VpSBByalFkjM6WF84n161Ldw7FuVSK&#10;WOO/SF/HUYa00eiwJwmkNZhmUkfQiVNlyZIBLoxzoX0/7lCLBl0l/esevgQcqAGvpB5t1Sh6Fym2&#10;ULn9XOPoFzQ7r9/nA8x/lW+yVf8hXz/4PX+DqKLajlVJTYAgYGoyTdmJ40yJiLJ0Vrhy8XzCHJQm&#10;K/gODrsyG+nBCUo2wEXajj1sVgtWvNNFlD2TKsnIq3Qwi3jbExjCbIUWwyIYOFBtWYcbJSrGN1dz&#10;Je8X4s60N7KqfXeYQcSaWInSk+O5Yn5ISSFBGfMOkXuhXTssCDBsF4H/PuR0NOzhuGhMdsnQhgxI&#10;SrGw9uE2s9lcLIW6i00PAQdKarSfpITueP1SVdH37dN8d5UAwyHPEwH214B+nIcb7c3CPnPW/SwB&#10;85h9R0KBdxJR+fV8DYAEMpqbYgM6wv0P9zu8URBqY79RsgLf59TdL5gVlKiPGhQw7Y9G4YGIi9H4&#10;cICF3bfM9y1Mc4TKqacAehBPfXpUFi3QUyNT4g1t3oAGSxkZ6qGqrm5weiKI9P6ER2N/Hb0eXsnj&#10;7wAAAP//AwBQSwMEFAAGAAgAAAAhAEzvwZrjAAAAEgEAAA8AAABkcnMvZG93bnJldi54bWxMT8lO&#10;wzAQvSPxD9YgcWvtGFqRNE7FIg4cU1C5OvE0iRqPo9htU74e5wSX0Sxv3pJvJ9uzM46+c6QgWQpg&#10;SLUzHTUKvj7fF0/AfNBkdO8IFVzRw7a4vcl1ZtyFSjzvQsMiCflMK2hDGDLOfd2i1X7pBqR4O7jR&#10;6hDHseFm1JdIbnsuhVhzqzuKCq0e8LXF+rg7WQXdy5WL/Y8s68rq4+Hje5WW+0Gp+7vpbRPL8wZY&#10;wCn8fcCcIfqHIhqr3ImMZ72CRfK4jtC5SaQENkMe0jQFVsWdFCvgRc7/Ryl+AQAA//8DAFBLAQIt&#10;ABQABgAIAAAAIQC2gziS/gAAAOEBAAATAAAAAAAAAAAAAAAAAAAAAABbQ29udGVudF9UeXBlc10u&#10;eG1sUEsBAi0AFAAGAAgAAAAhADj9If/WAAAAlAEAAAsAAAAAAAAAAAAAAAAALwEAAF9yZWxzLy5y&#10;ZWxzUEsBAi0AFAAGAAgAAAAhAGYCzUwGAwAAbQcAAA4AAAAAAAAAAAAAAAAALgIAAGRycy9lMm9E&#10;b2MueG1sUEsBAi0AFAAGAAgAAAAhAEzvwZrjAAAAEgEAAA8AAAAAAAAAAAAAAAAAYAUAAGRycy9k&#10;b3ducmV2LnhtbFBLBQYAAAAABAAEAPMAAABwBgAAAABacmpBQUFBRWdFQUFBOEFBQUFBQUFBQU==&#10;" fillcolor="#95b3d7 [1940]">
            <v:fill color2="#dbe5f1 [660]" angle="135" focus="50%" type="gradient"/>
            <v:shadow color="#243f60 [1604]" opacity=".5" offset="1pt"/>
            <o:extrusion v:ext="view" color="#95b3d7 [1940]" on="t"/>
            <v:textbox>
              <w:txbxContent>
                <w:p w:rsidR="00FA537E" w:rsidRPr="00DF7695" w:rsidRDefault="00DF7695" w:rsidP="00FA537E">
                  <w:pPr>
                    <w:jc w:val="center"/>
                    <w:rPr>
                      <w:rFonts w:ascii="Action Man Shaded" w:hAnsi="Action Man Shaded"/>
                      <w:b/>
                      <w:bCs/>
                    </w:rPr>
                  </w:pPr>
                  <w:r>
                    <w:rPr>
                      <w:rFonts w:ascii="Action Man Shaded" w:hAnsi="Action Man Shaded"/>
                      <w:b/>
                      <w:bCs/>
                    </w:rPr>
                    <w:t>M</w:t>
                  </w:r>
                  <w:r w:rsidR="00FA537E" w:rsidRPr="00DF7695">
                    <w:rPr>
                      <w:rFonts w:ascii="Action Man Shaded" w:hAnsi="Action Man Shaded"/>
                      <w:b/>
                      <w:bCs/>
                    </w:rPr>
                    <w:t xml:space="preserve">edidas de atención a la diversidad en </w:t>
                  </w:r>
                  <w:r w:rsidR="00780EC6">
                    <w:rPr>
                      <w:rFonts w:ascii="Action Man Shaded" w:hAnsi="Action Man Shaded"/>
                      <w:b/>
                      <w:bCs/>
                    </w:rPr>
                    <w:t>Bachillerato</w:t>
                  </w:r>
                  <w:r w:rsidR="00FA537E" w:rsidRPr="00DF7695">
                    <w:rPr>
                      <w:rFonts w:ascii="Action Man Shaded" w:hAnsi="Action Man Shaded"/>
                      <w:b/>
                      <w:bCs/>
                    </w:rPr>
                    <w:t>.</w:t>
                  </w:r>
                </w:p>
              </w:txbxContent>
            </v:textbox>
          </v:rect>
        </w:pic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60"/>
        <w:gridCol w:w="11484"/>
      </w:tblGrid>
      <w:tr w:rsidR="006470F8" w:rsidTr="00E000E5">
        <w:tc>
          <w:tcPr>
            <w:tcW w:w="2660" w:type="dxa"/>
            <w:shd w:val="clear" w:color="auto" w:fill="8DB3E2" w:themeFill="text2" w:themeFillTint="66"/>
          </w:tcPr>
          <w:p w:rsidR="006470F8" w:rsidRDefault="006470F8"/>
          <w:p w:rsidR="006470F8" w:rsidRDefault="006470F8"/>
          <w:p w:rsidR="006470F8" w:rsidRPr="00887625" w:rsidRDefault="006470F8">
            <w:pPr>
              <w:rPr>
                <w:b/>
                <w:sz w:val="24"/>
                <w:szCs w:val="24"/>
                <w:u w:val="single"/>
              </w:rPr>
            </w:pPr>
            <w:r w:rsidRPr="00887625">
              <w:rPr>
                <w:b/>
                <w:sz w:val="24"/>
                <w:szCs w:val="24"/>
                <w:u w:val="single"/>
              </w:rPr>
              <w:t>NORMATIVA</w:t>
            </w:r>
          </w:p>
          <w:p w:rsidR="006470F8" w:rsidRDefault="006470F8"/>
          <w:p w:rsidR="006470F8" w:rsidRDefault="006470F8"/>
          <w:p w:rsidR="006470F8" w:rsidRDefault="006470F8" w:rsidP="00E000E5">
            <w:pPr>
              <w:jc w:val="center"/>
            </w:pPr>
          </w:p>
          <w:p w:rsidR="006470F8" w:rsidRDefault="006470F8"/>
          <w:p w:rsidR="006470F8" w:rsidRDefault="006470F8"/>
        </w:tc>
        <w:tc>
          <w:tcPr>
            <w:tcW w:w="11484" w:type="dxa"/>
            <w:shd w:val="clear" w:color="auto" w:fill="DBE5F1" w:themeFill="accent1" w:themeFillTint="33"/>
          </w:tcPr>
          <w:p w:rsidR="00BE6AE4" w:rsidRDefault="00BE6AE4" w:rsidP="000D5C89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72EAF" w:rsidRPr="00672EAF" w:rsidRDefault="00672EAF" w:rsidP="000D5C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Real Decreto 1165/2014, de 26 de diciembre,</w:t>
            </w:r>
            <w:r w:rsidRPr="00672EAF">
              <w:rPr>
                <w:b/>
                <w:sz w:val="20"/>
                <w:szCs w:val="20"/>
              </w:rPr>
              <w:t xml:space="preserve"> </w:t>
            </w:r>
            <w:r w:rsidRPr="00672EAF">
              <w:rPr>
                <w:bCs/>
                <w:sz w:val="20"/>
                <w:szCs w:val="20"/>
              </w:rPr>
              <w:t>por el que se establece el currículo básico de la ESO y del Bachillerato</w:t>
            </w:r>
            <w:r>
              <w:rPr>
                <w:bCs/>
                <w:sz w:val="20"/>
                <w:szCs w:val="20"/>
              </w:rPr>
              <w:t>.</w:t>
            </w:r>
          </w:p>
          <w:p w:rsidR="00DF7695" w:rsidRPr="00BE6AE4" w:rsidRDefault="00DF7695" w:rsidP="00DF7695">
            <w:pPr>
              <w:jc w:val="both"/>
              <w:rPr>
                <w:rFonts w:cs="Arial"/>
                <w:sz w:val="20"/>
                <w:szCs w:val="20"/>
              </w:rPr>
            </w:pPr>
            <w:r w:rsidRPr="000D5C89">
              <w:rPr>
                <w:rFonts w:cs="Arial"/>
                <w:b/>
                <w:sz w:val="20"/>
                <w:szCs w:val="20"/>
                <w:u w:val="single"/>
              </w:rPr>
              <w:t>Decreto 11</w:t>
            </w:r>
            <w:r w:rsidR="001B7FDA">
              <w:rPr>
                <w:rFonts w:cs="Arial"/>
                <w:b/>
                <w:sz w:val="20"/>
                <w:szCs w:val="20"/>
                <w:u w:val="single"/>
              </w:rPr>
              <w:t>0</w:t>
            </w:r>
            <w:r w:rsidRPr="000D5C89">
              <w:rPr>
                <w:rFonts w:cs="Arial"/>
                <w:b/>
                <w:sz w:val="20"/>
                <w:szCs w:val="20"/>
                <w:u w:val="single"/>
              </w:rPr>
              <w:t>/2016, de 14 de junio</w:t>
            </w:r>
            <w:r w:rsidRPr="000D5C8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BE6AE4">
              <w:rPr>
                <w:rFonts w:cs="Arial"/>
                <w:sz w:val="20"/>
                <w:szCs w:val="20"/>
              </w:rPr>
              <w:t>por el que se establece la ordenación y el currículo de</w:t>
            </w:r>
            <w:r w:rsidR="001B7FDA">
              <w:rPr>
                <w:rFonts w:cs="Arial"/>
                <w:sz w:val="20"/>
                <w:szCs w:val="20"/>
              </w:rPr>
              <w:t>l Bachillerato</w:t>
            </w:r>
            <w:r w:rsidRPr="00BE6AE4">
              <w:rPr>
                <w:rFonts w:cs="Arial"/>
                <w:sz w:val="20"/>
                <w:szCs w:val="20"/>
              </w:rPr>
              <w:t xml:space="preserve"> en la comunidad Autónoma de Andalucía.</w:t>
            </w:r>
          </w:p>
          <w:p w:rsidR="000D5C89" w:rsidRDefault="000D5C89" w:rsidP="000D5C89">
            <w:pPr>
              <w:jc w:val="both"/>
              <w:rPr>
                <w:sz w:val="20"/>
                <w:szCs w:val="20"/>
                <w:u w:val="single"/>
              </w:rPr>
            </w:pPr>
            <w:r w:rsidRPr="000D5C89">
              <w:rPr>
                <w:b/>
                <w:sz w:val="20"/>
                <w:szCs w:val="20"/>
                <w:u w:val="single"/>
              </w:rPr>
              <w:t xml:space="preserve">Orden 14 de </w:t>
            </w:r>
            <w:r w:rsidR="00DF7695">
              <w:rPr>
                <w:b/>
                <w:sz w:val="20"/>
                <w:szCs w:val="20"/>
                <w:u w:val="single"/>
              </w:rPr>
              <w:t>j</w:t>
            </w:r>
            <w:r w:rsidRPr="000D5C89">
              <w:rPr>
                <w:b/>
                <w:sz w:val="20"/>
                <w:szCs w:val="20"/>
                <w:u w:val="single"/>
              </w:rPr>
              <w:t>ulio de 2016</w:t>
            </w:r>
            <w:r w:rsidRPr="000D5C89">
              <w:rPr>
                <w:b/>
                <w:sz w:val="20"/>
                <w:szCs w:val="20"/>
              </w:rPr>
              <w:t xml:space="preserve"> </w:t>
            </w:r>
            <w:r w:rsidRPr="00BE6AE4">
              <w:rPr>
                <w:sz w:val="20"/>
                <w:szCs w:val="20"/>
              </w:rPr>
              <w:t xml:space="preserve">por la que se </w:t>
            </w:r>
            <w:r w:rsidR="006A3075">
              <w:rPr>
                <w:sz w:val="20"/>
                <w:szCs w:val="20"/>
              </w:rPr>
              <w:t>desarrolla el currículo correspondiente al Bachillerato en la Comunidad Autónoma de Andalucía, se re</w:t>
            </w:r>
            <w:r w:rsidR="001B7FDA">
              <w:rPr>
                <w:sz w:val="20"/>
                <w:szCs w:val="20"/>
              </w:rPr>
              <w:t>g</w:t>
            </w:r>
            <w:r w:rsidR="006A3075">
              <w:rPr>
                <w:sz w:val="20"/>
                <w:szCs w:val="20"/>
              </w:rPr>
              <w:t xml:space="preserve">ulan determinados </w:t>
            </w:r>
            <w:r w:rsidRPr="00BE6AE4">
              <w:rPr>
                <w:sz w:val="20"/>
                <w:szCs w:val="20"/>
              </w:rPr>
              <w:t>de la Atención</w:t>
            </w:r>
            <w:r w:rsidR="001B7FDA">
              <w:rPr>
                <w:sz w:val="20"/>
                <w:szCs w:val="20"/>
              </w:rPr>
              <w:t xml:space="preserve"> </w:t>
            </w:r>
            <w:r w:rsidRPr="00BE6AE4">
              <w:rPr>
                <w:sz w:val="20"/>
                <w:szCs w:val="20"/>
              </w:rPr>
              <w:t xml:space="preserve">a la Diversidad </w:t>
            </w:r>
            <w:r w:rsidR="006A3075">
              <w:rPr>
                <w:sz w:val="20"/>
                <w:szCs w:val="20"/>
              </w:rPr>
              <w:t>y se establece la ordenación de la evaluación del proceso de aprendizaje del alunado.</w:t>
            </w:r>
          </w:p>
          <w:p w:rsidR="000D5C89" w:rsidRPr="00BE6AE4" w:rsidRDefault="000D5C89" w:rsidP="000D5C89">
            <w:pPr>
              <w:jc w:val="both"/>
              <w:rPr>
                <w:rFonts w:cs="Arial"/>
                <w:sz w:val="20"/>
                <w:szCs w:val="20"/>
              </w:rPr>
            </w:pPr>
            <w:r w:rsidRPr="000D5C89">
              <w:rPr>
                <w:rFonts w:cs="Arial"/>
                <w:b/>
                <w:sz w:val="20"/>
                <w:szCs w:val="20"/>
                <w:u w:val="single"/>
              </w:rPr>
              <w:t xml:space="preserve">Instrucciones 8 de </w:t>
            </w:r>
            <w:r w:rsidR="00DF7695">
              <w:rPr>
                <w:rFonts w:cs="Arial"/>
                <w:b/>
                <w:sz w:val="20"/>
                <w:szCs w:val="20"/>
                <w:u w:val="single"/>
              </w:rPr>
              <w:t>m</w:t>
            </w:r>
            <w:r w:rsidRPr="000D5C89">
              <w:rPr>
                <w:rFonts w:cs="Arial"/>
                <w:b/>
                <w:sz w:val="20"/>
                <w:szCs w:val="20"/>
                <w:u w:val="single"/>
              </w:rPr>
              <w:t xml:space="preserve">arzo de </w:t>
            </w:r>
            <w:r w:rsidRPr="00DF7695">
              <w:rPr>
                <w:rFonts w:cs="Arial"/>
                <w:b/>
                <w:bCs/>
                <w:sz w:val="20"/>
                <w:szCs w:val="20"/>
                <w:u w:val="single"/>
              </w:rPr>
              <w:t>2017</w:t>
            </w:r>
            <w:r w:rsidRPr="00DF769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E6AE4">
              <w:rPr>
                <w:rFonts w:cs="Arial"/>
                <w:sz w:val="20"/>
                <w:szCs w:val="20"/>
              </w:rPr>
              <w:t>de la Dirección Genera</w:t>
            </w:r>
            <w:r w:rsidR="00BE6AE4" w:rsidRPr="00BE6AE4">
              <w:rPr>
                <w:rFonts w:cs="Arial"/>
                <w:sz w:val="20"/>
                <w:szCs w:val="20"/>
              </w:rPr>
              <w:t>l de participación y</w:t>
            </w:r>
            <w:r w:rsidR="00BE6AE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E6AE4" w:rsidRPr="00BE6AE4">
              <w:rPr>
                <w:rFonts w:cs="Arial"/>
                <w:sz w:val="20"/>
                <w:szCs w:val="20"/>
              </w:rPr>
              <w:t>equidad por</w:t>
            </w:r>
            <w:r w:rsidRPr="00BE6AE4">
              <w:rPr>
                <w:rFonts w:cs="Arial"/>
                <w:sz w:val="20"/>
                <w:szCs w:val="20"/>
              </w:rPr>
              <w:t xml:space="preserve"> las que se actualiza el protocolo de Detección, identificación del alumnado con NEAE, y organización de la Respuesta Educativa.</w:t>
            </w:r>
          </w:p>
          <w:p w:rsidR="006470F8" w:rsidRDefault="006470F8"/>
        </w:tc>
      </w:tr>
      <w:tr w:rsidR="006470F8" w:rsidTr="005C33AA">
        <w:trPr>
          <w:trHeight w:val="2526"/>
        </w:trPr>
        <w:tc>
          <w:tcPr>
            <w:tcW w:w="2660" w:type="dxa"/>
            <w:shd w:val="clear" w:color="auto" w:fill="8DB3E2" w:themeFill="text2" w:themeFillTint="66"/>
          </w:tcPr>
          <w:p w:rsidR="006470F8" w:rsidRDefault="006470F8"/>
          <w:p w:rsidR="006470F8" w:rsidRDefault="006470F8"/>
          <w:p w:rsidR="006470F8" w:rsidRPr="00090634" w:rsidRDefault="00090634">
            <w:pPr>
              <w:rPr>
                <w:b/>
                <w:u w:val="single"/>
              </w:rPr>
            </w:pPr>
            <w:r w:rsidRPr="00090634">
              <w:rPr>
                <w:b/>
                <w:u w:val="single"/>
              </w:rPr>
              <w:t xml:space="preserve">MEDIDAS GENERALES </w:t>
            </w:r>
          </w:p>
          <w:p w:rsidR="006470F8" w:rsidRDefault="006470F8"/>
          <w:p w:rsidR="006470F8" w:rsidRDefault="00B57970">
            <w:r>
              <w:t>( Alumnado en General )</w:t>
            </w:r>
          </w:p>
          <w:p w:rsidR="006470F8" w:rsidRDefault="006470F8"/>
          <w:p w:rsidR="006470F8" w:rsidRDefault="006470F8"/>
          <w:p w:rsidR="006470F8" w:rsidRDefault="006470F8"/>
          <w:p w:rsidR="006470F8" w:rsidRDefault="006470F8"/>
          <w:p w:rsidR="006470F8" w:rsidRDefault="006470F8"/>
        </w:tc>
        <w:tc>
          <w:tcPr>
            <w:tcW w:w="11484" w:type="dxa"/>
            <w:shd w:val="clear" w:color="auto" w:fill="DBE5F1" w:themeFill="accent1" w:themeFillTint="33"/>
          </w:tcPr>
          <w:p w:rsidR="003B20B1" w:rsidRDefault="003B20B1" w:rsidP="003F6206">
            <w:pPr>
              <w:jc w:val="both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:rsidR="003B20B1" w:rsidRPr="003B20B1" w:rsidRDefault="003B20B1" w:rsidP="00324ABB">
            <w:pPr>
              <w:jc w:val="both"/>
              <w:rPr>
                <w:rFonts w:cs="Arial"/>
                <w:sz w:val="20"/>
                <w:szCs w:val="20"/>
              </w:rPr>
            </w:pPr>
            <w:r w:rsidRPr="003B20B1">
              <w:rPr>
                <w:rFonts w:cs="Arial"/>
                <w:b/>
                <w:bCs/>
                <w:sz w:val="20"/>
                <w:szCs w:val="20"/>
                <w:u w:val="single"/>
              </w:rPr>
              <w:t>A nivel de centro:</w:t>
            </w:r>
            <w:r w:rsidR="00F8012D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8012D" w:rsidRPr="00F8012D">
              <w:rPr>
                <w:rFonts w:cstheme="minorHAnsi"/>
                <w:sz w:val="20"/>
                <w:szCs w:val="20"/>
              </w:rPr>
              <w:t xml:space="preserve">Los centros docentes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adoptarán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las medidas de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atención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a la diversidad, tanto organizativas como curriculares en el Bachillerato, que les permitan, en el ejercicio de su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autonomía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y en el marco de la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planificación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consejería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competente en materia de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educación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, una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organización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flexible de las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enseñanzas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y una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atención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personalizada al alumnado en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función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de sus necesidades educativas. Las </w:t>
            </w:r>
            <w:r w:rsidR="00F8012D" w:rsidRPr="00324ABB">
              <w:rPr>
                <w:rFonts w:cstheme="minorHAnsi"/>
                <w:b/>
                <w:bCs/>
                <w:sz w:val="20"/>
                <w:szCs w:val="20"/>
              </w:rPr>
              <w:t xml:space="preserve">medidas de </w:t>
            </w:r>
            <w:proofErr w:type="spellStart"/>
            <w:r w:rsidR="00F8012D" w:rsidRPr="00324ABB">
              <w:rPr>
                <w:rFonts w:cstheme="minorHAnsi"/>
                <w:b/>
                <w:bCs/>
                <w:sz w:val="20"/>
                <w:szCs w:val="20"/>
              </w:rPr>
              <w:t>atención</w:t>
            </w:r>
            <w:proofErr w:type="spellEnd"/>
            <w:r w:rsidR="00F8012D" w:rsidRPr="00324ABB">
              <w:rPr>
                <w:rFonts w:cstheme="minorHAnsi"/>
                <w:b/>
                <w:bCs/>
                <w:sz w:val="20"/>
                <w:szCs w:val="20"/>
              </w:rPr>
              <w:t xml:space="preserve"> a la diversidad</w:t>
            </w:r>
            <w:r w:rsidR="00F8012D" w:rsidRPr="00F8012D">
              <w:rPr>
                <w:rFonts w:cstheme="minorHAnsi"/>
                <w:sz w:val="20"/>
                <w:szCs w:val="20"/>
              </w:rPr>
              <w:t xml:space="preserve"> que adopte cada centro </w:t>
            </w:r>
            <w:proofErr w:type="spellStart"/>
            <w:r w:rsidR="00F8012D" w:rsidRPr="00F8012D">
              <w:rPr>
                <w:rFonts w:cstheme="minorHAnsi"/>
                <w:sz w:val="20"/>
                <w:szCs w:val="20"/>
              </w:rPr>
              <w:t>formarán</w:t>
            </w:r>
            <w:proofErr w:type="spellEnd"/>
            <w:r w:rsidR="00F8012D" w:rsidRPr="00F8012D">
              <w:rPr>
                <w:rFonts w:cstheme="minorHAnsi"/>
                <w:sz w:val="20"/>
                <w:szCs w:val="20"/>
              </w:rPr>
              <w:t xml:space="preserve"> parte de su proyecto educativ</w:t>
            </w:r>
            <w:r w:rsidR="00324ABB">
              <w:rPr>
                <w:rFonts w:cstheme="minorHAnsi"/>
                <w:sz w:val="20"/>
                <w:szCs w:val="20"/>
              </w:rPr>
              <w:t>o</w:t>
            </w:r>
            <w:r w:rsidR="00F8012D">
              <w:rPr>
                <w:rFonts w:cstheme="minorHAnsi"/>
                <w:sz w:val="20"/>
                <w:szCs w:val="20"/>
              </w:rPr>
              <w:t>.</w:t>
            </w:r>
            <w:r w:rsidR="00324ABB">
              <w:rPr>
                <w:rFonts w:cstheme="minorHAnsi"/>
                <w:sz w:val="20"/>
                <w:szCs w:val="20"/>
              </w:rPr>
              <w:t xml:space="preserve"> Siendo de </w:t>
            </w:r>
            <w:proofErr w:type="spellStart"/>
            <w:r w:rsidR="00324ABB">
              <w:rPr>
                <w:rFonts w:cstheme="minorHAnsi"/>
                <w:sz w:val="20"/>
                <w:szCs w:val="20"/>
              </w:rPr>
              <w:t>carater</w:t>
            </w:r>
            <w:proofErr w:type="spellEnd"/>
            <w:r w:rsidR="00324ABB">
              <w:rPr>
                <w:rFonts w:cstheme="minorHAnsi"/>
                <w:sz w:val="20"/>
                <w:szCs w:val="20"/>
              </w:rPr>
              <w:t xml:space="preserve"> obligatorio:</w:t>
            </w:r>
            <w:r w:rsidR="00F8012D">
              <w:rPr>
                <w:rFonts w:cstheme="minorHAnsi"/>
                <w:sz w:val="20"/>
                <w:szCs w:val="20"/>
              </w:rPr>
              <w:t xml:space="preserve"> </w:t>
            </w:r>
            <w:r w:rsidR="001B7FDA" w:rsidRPr="00324ABB">
              <w:rPr>
                <w:rFonts w:cs="Arial"/>
                <w:b/>
                <w:bCs/>
                <w:sz w:val="20"/>
                <w:szCs w:val="20"/>
              </w:rPr>
              <w:t>Cambio de modalidad de bachillerato</w:t>
            </w:r>
            <w:r w:rsidR="00F8012D">
              <w:rPr>
                <w:rFonts w:cs="Arial"/>
                <w:sz w:val="20"/>
                <w:szCs w:val="20"/>
              </w:rPr>
              <w:t xml:space="preserve"> y </w:t>
            </w:r>
            <w:r w:rsidR="00F8012D" w:rsidRPr="00324ABB">
              <w:rPr>
                <w:rFonts w:cs="Arial"/>
                <w:b/>
                <w:bCs/>
                <w:sz w:val="20"/>
                <w:szCs w:val="20"/>
              </w:rPr>
              <w:t>Actividades de recuperación y evaluación de las materias pendientes</w:t>
            </w:r>
            <w:r w:rsidR="00F8012D">
              <w:rPr>
                <w:rFonts w:cs="Arial"/>
                <w:sz w:val="20"/>
                <w:szCs w:val="20"/>
              </w:rPr>
              <w:t>.</w:t>
            </w:r>
          </w:p>
        </w:tc>
      </w:tr>
      <w:tr w:rsidR="006470F8" w:rsidTr="00D210F8">
        <w:tc>
          <w:tcPr>
            <w:tcW w:w="2660" w:type="dxa"/>
            <w:shd w:val="clear" w:color="auto" w:fill="8DB3E2" w:themeFill="text2" w:themeFillTint="66"/>
          </w:tcPr>
          <w:p w:rsidR="006470F8" w:rsidRDefault="006470F8"/>
          <w:p w:rsidR="006470F8" w:rsidRDefault="00B57970">
            <w:pPr>
              <w:rPr>
                <w:b/>
                <w:u w:val="single"/>
              </w:rPr>
            </w:pPr>
            <w:r w:rsidRPr="00B57970">
              <w:rPr>
                <w:b/>
                <w:u w:val="single"/>
              </w:rPr>
              <w:t>MEDIDAS ESPECÍFICAS</w:t>
            </w:r>
            <w:r>
              <w:rPr>
                <w:b/>
                <w:u w:val="single"/>
              </w:rPr>
              <w:t>.</w:t>
            </w:r>
          </w:p>
          <w:p w:rsidR="00B57970" w:rsidRDefault="00B57970">
            <w:pPr>
              <w:rPr>
                <w:b/>
                <w:u w:val="single"/>
              </w:rPr>
            </w:pPr>
          </w:p>
          <w:p w:rsidR="00B57970" w:rsidRPr="00B57970" w:rsidRDefault="00B57970">
            <w:r>
              <w:t>( Alumnado con necesidades específicas de Apoyo educativo  NEAE)</w:t>
            </w:r>
          </w:p>
          <w:p w:rsidR="006470F8" w:rsidRPr="00B57970" w:rsidRDefault="006470F8">
            <w:pPr>
              <w:rPr>
                <w:b/>
                <w:u w:val="single"/>
              </w:rPr>
            </w:pPr>
          </w:p>
          <w:p w:rsidR="006470F8" w:rsidRDefault="006470F8"/>
          <w:p w:rsidR="006470F8" w:rsidRDefault="006470F8"/>
          <w:p w:rsidR="006470F8" w:rsidRDefault="006470F8"/>
          <w:p w:rsidR="006470F8" w:rsidRDefault="006470F8"/>
        </w:tc>
        <w:tc>
          <w:tcPr>
            <w:tcW w:w="11484" w:type="dxa"/>
            <w:shd w:val="clear" w:color="auto" w:fill="DBE5F1" w:themeFill="accent1" w:themeFillTint="33"/>
          </w:tcPr>
          <w:p w:rsidR="00806F26" w:rsidRDefault="00806F26">
            <w:pPr>
              <w:rPr>
                <w:b/>
                <w:sz w:val="20"/>
                <w:szCs w:val="20"/>
              </w:rPr>
            </w:pPr>
          </w:p>
          <w:p w:rsidR="006470F8" w:rsidRDefault="00C21EF7">
            <w:pPr>
              <w:rPr>
                <w:sz w:val="20"/>
                <w:szCs w:val="20"/>
              </w:rPr>
            </w:pPr>
            <w:r w:rsidRPr="00CE7B0C">
              <w:rPr>
                <w:b/>
                <w:sz w:val="20"/>
                <w:szCs w:val="20"/>
              </w:rPr>
              <w:t>Adaptaciones de ACCESO</w:t>
            </w:r>
            <w:r w:rsidR="004906C2">
              <w:rPr>
                <w:b/>
                <w:sz w:val="20"/>
                <w:szCs w:val="20"/>
              </w:rPr>
              <w:t xml:space="preserve"> </w:t>
            </w:r>
            <w:r w:rsidR="000602B0">
              <w:rPr>
                <w:b/>
                <w:sz w:val="20"/>
                <w:szCs w:val="20"/>
              </w:rPr>
              <w:t>(AAC</w:t>
            </w:r>
            <w:r w:rsidR="004906C2">
              <w:rPr>
                <w:b/>
                <w:sz w:val="20"/>
                <w:szCs w:val="20"/>
              </w:rPr>
              <w:t>)</w:t>
            </w:r>
            <w:r w:rsidR="00CE7B0C" w:rsidRPr="00CE7B0C">
              <w:rPr>
                <w:b/>
                <w:sz w:val="20"/>
                <w:szCs w:val="20"/>
              </w:rPr>
              <w:t>:</w:t>
            </w:r>
            <w:r w:rsidR="00CE7B0C">
              <w:rPr>
                <w:sz w:val="20"/>
                <w:szCs w:val="20"/>
              </w:rPr>
              <w:t xml:space="preserve"> Modificaciones en los elementos de acceso a la Información, a la comunicación incorporando de recursos específicos. Propuesta por el </w:t>
            </w:r>
            <w:r w:rsidR="00CE7B0C" w:rsidRPr="008D51B0">
              <w:rPr>
                <w:b/>
                <w:sz w:val="20"/>
                <w:szCs w:val="20"/>
              </w:rPr>
              <w:t>Orientador</w:t>
            </w:r>
            <w:r w:rsidR="00CE7B0C">
              <w:rPr>
                <w:sz w:val="20"/>
                <w:szCs w:val="20"/>
              </w:rPr>
              <w:t>, y con vínculo del Informe del EOEE especializado si procede. La aplicación corresponde al docente de la materia adaptada. Alumnado NEE.</w:t>
            </w:r>
          </w:p>
          <w:p w:rsidR="00806F26" w:rsidRDefault="00070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Programas de enriquecimiento curricular y medidas de flexibilización curricular</w:t>
            </w:r>
            <w:r w:rsidR="00806F26" w:rsidRPr="00806F26">
              <w:rPr>
                <w:b/>
                <w:sz w:val="20"/>
                <w:szCs w:val="20"/>
              </w:rPr>
              <w:t xml:space="preserve"> para el alumnado con altas capacidades intelectuales (ACAI)</w:t>
            </w:r>
          </w:p>
          <w:p w:rsidR="00070B44" w:rsidRDefault="00070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Adaptaciones curriculares alumnado ACAI:</w:t>
            </w:r>
          </w:p>
          <w:p w:rsidR="000602B0" w:rsidRPr="000602B0" w:rsidRDefault="000602B0" w:rsidP="000602B0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ACAI de Enriquecimiento.</w:t>
            </w:r>
            <w:r>
              <w:rPr>
                <w:sz w:val="20"/>
                <w:szCs w:val="20"/>
              </w:rPr>
              <w:t xml:space="preserve"> Modificaciones que se realizan en la programación didáctica y que suponen profundización en currículo, no se modifican los criterios de evaluación.</w:t>
            </w:r>
          </w:p>
          <w:p w:rsidR="000602B0" w:rsidRDefault="000602B0" w:rsidP="000602B0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ACAI de ampliación.</w:t>
            </w:r>
            <w:r>
              <w:rPr>
                <w:sz w:val="20"/>
                <w:szCs w:val="20"/>
              </w:rPr>
              <w:t xml:space="preserve"> </w:t>
            </w:r>
            <w:r w:rsidR="00A87D8D">
              <w:rPr>
                <w:sz w:val="20"/>
                <w:szCs w:val="20"/>
              </w:rPr>
              <w:t>Modificación</w:t>
            </w:r>
            <w:r>
              <w:rPr>
                <w:sz w:val="20"/>
                <w:szCs w:val="20"/>
              </w:rPr>
              <w:t xml:space="preserve"> de la </w:t>
            </w:r>
            <w:r w:rsidR="00A87D8D">
              <w:rPr>
                <w:sz w:val="20"/>
                <w:szCs w:val="20"/>
              </w:rPr>
              <w:t>Programación</w:t>
            </w:r>
            <w:r>
              <w:rPr>
                <w:sz w:val="20"/>
                <w:szCs w:val="20"/>
              </w:rPr>
              <w:t xml:space="preserve"> didáctica, con inclusión de objetivos y contenidos de cursos superiores</w:t>
            </w:r>
            <w:r w:rsidR="00A87D8D">
              <w:rPr>
                <w:sz w:val="20"/>
                <w:szCs w:val="20"/>
              </w:rPr>
              <w:t xml:space="preserve">, se hará una definición específica de los criterios de evaluación, se deberá hacer un reajuste organizativo para ver de que manera se </w:t>
            </w:r>
            <w:r w:rsidR="00A87D8D">
              <w:rPr>
                <w:sz w:val="20"/>
                <w:szCs w:val="20"/>
              </w:rPr>
              <w:lastRenderedPageBreak/>
              <w:t>podrán cursar las materias objeto de ampliación en los cursos superiores. Requiere de Informe de Evaluación psicopedagógica.</w:t>
            </w:r>
          </w:p>
          <w:p w:rsidR="00A87D8D" w:rsidRDefault="00A87D8D" w:rsidP="000602B0">
            <w:pPr>
              <w:rPr>
                <w:sz w:val="20"/>
                <w:szCs w:val="20"/>
              </w:rPr>
            </w:pPr>
            <w:r w:rsidRPr="00A87D8D">
              <w:rPr>
                <w:b/>
                <w:sz w:val="20"/>
                <w:szCs w:val="20"/>
              </w:rPr>
              <w:t>Flexibilización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Supone la flexibilización del periodo de escolarización, bien anticipando el comienzo o bien acortando la misma, o lo que viene a ser, saltar algún curso. Es una medida excepcional. En educación Secundaria podrá reducirse la escolarización un máximo de un año.</w:t>
            </w:r>
          </w:p>
          <w:p w:rsidR="00070B44" w:rsidRDefault="00070B44" w:rsidP="00070B44">
            <w:pPr>
              <w:pStyle w:val="NormalWeb"/>
              <w:rPr>
                <w:rFonts w:ascii="NewsGotT" w:hAnsi="NewsGotT"/>
              </w:rPr>
            </w:pPr>
            <w:r w:rsidRPr="00070B44">
              <w:rPr>
                <w:b/>
                <w:bCs/>
                <w:sz w:val="20"/>
                <w:szCs w:val="20"/>
              </w:rPr>
              <w:t>Adaptaciones curriculares alumnado NEAE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propondrán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para un curso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académico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y en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ningún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caso se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tendrán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en cuenta para minorar las calificaciones obtenidas.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detallarán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las materias en las que se van a aplicar, la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metodología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, la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organización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de los contenidos, los criterios de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evaluación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y su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vinculación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con los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estándares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de aprendizaje evaluables, en su caso. estas adaptaciones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podrán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incluir modificaciones en la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programación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didáctica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de la materia objeto de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adaptación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, en la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organización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temporalización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presentación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 de los contenidos, en los aspectos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metodológicos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asi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́ como en los procedimientos e instrumentos</w:t>
            </w:r>
            <w:r>
              <w:rPr>
                <w:rFonts w:ascii="NewsGotT" w:hAnsi="NewsGotT"/>
              </w:rPr>
              <w:t xml:space="preserve"> </w:t>
            </w:r>
            <w:r w:rsidRPr="00070B4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evaluación</w:t>
            </w:r>
            <w:proofErr w:type="spellEnd"/>
            <w:r w:rsidRPr="00070B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="NewsGotT" w:hAnsi="NewsGotT"/>
              </w:rPr>
              <w:t xml:space="preserve"> </w:t>
            </w:r>
          </w:p>
          <w:p w:rsidR="000D3B0B" w:rsidRDefault="00070B44" w:rsidP="000D3B0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Adaptaciones curriculares</w:t>
            </w:r>
            <w:r w:rsidR="000D3B0B" w:rsidRPr="000D3B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lenguas extranjeras:</w:t>
            </w:r>
            <w:r w:rsidR="000D3B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incluirán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medidas de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flexibilización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y alternativas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metodológicas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especialmente destinadas para el alumnado que presente dificultades en su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expresión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oral. </w:t>
            </w:r>
          </w:p>
          <w:p w:rsidR="000D3B0B" w:rsidRDefault="00070B44" w:rsidP="000D3B0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0B44">
              <w:rPr>
                <w:b/>
                <w:bCs/>
                <w:sz w:val="20"/>
                <w:szCs w:val="20"/>
              </w:rPr>
              <w:t xml:space="preserve">Fraccionamiento </w:t>
            </w:r>
            <w:r w:rsidR="000D3B0B">
              <w:rPr>
                <w:b/>
                <w:bCs/>
                <w:sz w:val="20"/>
                <w:szCs w:val="20"/>
              </w:rPr>
              <w:t xml:space="preserve">del </w:t>
            </w:r>
            <w:r w:rsidRPr="00070B44">
              <w:rPr>
                <w:b/>
                <w:bCs/>
                <w:sz w:val="20"/>
                <w:szCs w:val="20"/>
              </w:rPr>
              <w:t>currículo</w:t>
            </w:r>
            <w:r w:rsidR="000D3B0B">
              <w:rPr>
                <w:b/>
                <w:bCs/>
                <w:sz w:val="20"/>
                <w:szCs w:val="20"/>
              </w:rPr>
              <w:t xml:space="preserve">: </w:t>
            </w:r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Cuando se considere que las adaptaciones curriculares no son suficientes para alcanzar los objetivos de la etapa, el alumnado con necesidad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específica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apoyo educativo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podra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cursar el Bachillerato fraccionando en dos partes las materias que componen el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currículo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cada curso. Para aplicar la medida de fraccionamiento, se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debera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solicitar y obtener la correspondiente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autorización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. A tales efectos, el centro docente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remitira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a la correspondiente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delegación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Territorial de la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Consejería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competente en materia de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educación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la solicitud del alumno o alumna,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acompañada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del informe del departamento de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orientación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en el que se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podra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incluir la propuesta concreta de fraccionamiento curricular. La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delegación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Territorial adjuntará a dicha solicitud el informe correspondiente del Servicio de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Inspección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educación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y la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remitira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a la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dirección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General competente en materia de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ordenación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educativa para la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resolución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que proceda. se establecen dos partes del fraccionamiento de las materias que componen el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currículo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cada curso, con la siguiente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distribución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materias: a) en primero de Bachillerato, la parte primera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comprendera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las materias generales del bloque de asignaturas troncales y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educación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Física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; y la parte segunda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comprendera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las materias de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opción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del bloque de asignaturas troncales,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además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Segunda Lengua extranjera I, las materias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específicas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o de libre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configuración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autonómica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elegidas por el alumnado, y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religión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educación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para la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Ciudadanía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y los derechos Humanos I. b) en segundo de Bachillerato, la parte primera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comprendera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las materias generales del bloque de asignaturas troncales e Historia de la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Filosofía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; y la parte segunda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comprendera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las materias de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opción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del bloque de asignaturas troncales,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además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la materia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específica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y la materia de libre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configuración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elegidas por el alumnado, y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religión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educación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para la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Ciudadanía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y los derechos Humanos II. El alumnado para el que se aplique la medida de fraccionamiento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podra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permanecer hasta un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máximo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seis </w:t>
            </w:r>
            <w:proofErr w:type="spellStart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>años</w:t>
            </w:r>
            <w:proofErr w:type="spellEnd"/>
            <w:r w:rsidR="000D3B0B"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cursando esta etapa. </w:t>
            </w:r>
          </w:p>
          <w:p w:rsidR="00F8012D" w:rsidRPr="00F8012D" w:rsidRDefault="000D3B0B" w:rsidP="00F8012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D3B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Exención de materias: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Cuando se considere que las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adaptaciones o el fraccionamiento</w:t>
            </w:r>
            <w:r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no son suficientes o no se ajustan a las necesidades que presenta un alumno o alumna para alcanzar los objetivos del Bachillerato, se </w:t>
            </w:r>
            <w:proofErr w:type="spellStart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>podra</w:t>
            </w:r>
            <w:proofErr w:type="spellEnd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́ autorizar la </w:t>
            </w:r>
            <w:proofErr w:type="spellStart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>exención</w:t>
            </w:r>
            <w:proofErr w:type="spellEnd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total o parcial de alguna </w:t>
            </w:r>
            <w:r w:rsidRPr="000D3B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materia para el alumnado con necesidad </w:t>
            </w:r>
            <w:proofErr w:type="spellStart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>específica</w:t>
            </w:r>
            <w:proofErr w:type="spellEnd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apoyo educativo, siempre que tal medida no impida la </w:t>
            </w:r>
            <w:proofErr w:type="spellStart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>consecución</w:t>
            </w:r>
            <w:proofErr w:type="spellEnd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 xml:space="preserve"> de los aprendizajes necesarios para obtener la </w:t>
            </w:r>
            <w:proofErr w:type="spellStart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>titulación</w:t>
            </w:r>
            <w:proofErr w:type="spellEnd"/>
            <w:r w:rsidRPr="000D3B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="NewsGotT" w:hAnsi="NewsGotT"/>
              </w:rPr>
              <w:t xml:space="preserve"> </w:t>
            </w:r>
            <w:r w:rsidR="00F8012D">
              <w:rPr>
                <w:rFonts w:asciiTheme="minorHAnsi" w:hAnsiTheme="minorHAnsi" w:cstheme="minorHAnsi"/>
                <w:sz w:val="20"/>
                <w:szCs w:val="20"/>
              </w:rPr>
              <w:t xml:space="preserve">En las materias de </w:t>
            </w:r>
            <w:proofErr w:type="spellStart"/>
            <w:r w:rsidR="00F8012D" w:rsidRPr="00F8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Educación</w:t>
            </w:r>
            <w:proofErr w:type="spellEnd"/>
            <w:r w:rsidR="00F8012D" w:rsidRPr="00F8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012D" w:rsidRPr="00F8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Física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r w:rsidR="00F8012D" w:rsidRPr="00F8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Segunda Lengua extranjera</w:t>
            </w:r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>podrán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 ser objeto de </w:t>
            </w:r>
            <w:proofErr w:type="spellStart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>exención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 total o parcial </w:t>
            </w:r>
            <w:proofErr w:type="spellStart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>según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 corresponda en cada caso</w:t>
            </w:r>
            <w:r w:rsidR="00F801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12D">
              <w:rPr>
                <w:rFonts w:ascii="NewsGotT" w:hAnsi="NewsGotT"/>
              </w:rPr>
              <w:t xml:space="preserve"> P</w:t>
            </w:r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ara la materia </w:t>
            </w:r>
            <w:r w:rsidR="00F8012D" w:rsidRPr="00F8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Primera Lengua extranjera</w:t>
            </w:r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>únicamente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>podra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́ realizar una </w:t>
            </w:r>
            <w:proofErr w:type="spellStart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>exención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 parcial</w:t>
            </w:r>
            <w:r w:rsidR="00F8012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Para aplicar la medida de </w:t>
            </w:r>
            <w:proofErr w:type="spellStart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>exención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, se </w:t>
            </w:r>
            <w:proofErr w:type="spellStart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>debera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́ solicitar y obtener la correspondiente </w:t>
            </w:r>
            <w:proofErr w:type="spellStart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>autorización</w:t>
            </w:r>
            <w:proofErr w:type="spellEnd"/>
            <w:r w:rsidR="00F8012D"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012D" w:rsidRPr="00F8012D" w:rsidRDefault="00F8012D" w:rsidP="00F8012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12D" w:rsidRPr="00F8012D" w:rsidRDefault="00F8012D" w:rsidP="00F8012D">
            <w:pPr>
              <w:pStyle w:val="NormalWeb"/>
              <w:rPr>
                <w:rFonts w:ascii="NewsGotT" w:hAnsi="NewsGotT"/>
              </w:rPr>
            </w:pPr>
            <w:r w:rsidRPr="00F8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012D" w:rsidRDefault="00F8012D" w:rsidP="000D3B0B">
            <w:pPr>
              <w:pStyle w:val="NormalWeb"/>
            </w:pPr>
          </w:p>
          <w:p w:rsidR="000D3B0B" w:rsidRPr="000D3B0B" w:rsidRDefault="000D3B0B" w:rsidP="000D3B0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D3B0B" w:rsidRPr="000D3B0B" w:rsidRDefault="000D3B0B" w:rsidP="000D3B0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3B0B" w:rsidRPr="000D3B0B" w:rsidRDefault="000D3B0B" w:rsidP="000D3B0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3B0B" w:rsidRPr="000D3B0B" w:rsidRDefault="000D3B0B" w:rsidP="000D3B0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B44" w:rsidRPr="000D3B0B" w:rsidRDefault="00070B44" w:rsidP="000D3B0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B44" w:rsidRPr="00070B44" w:rsidRDefault="00070B44" w:rsidP="000602B0">
            <w:pPr>
              <w:rPr>
                <w:b/>
                <w:bCs/>
                <w:sz w:val="20"/>
                <w:szCs w:val="20"/>
              </w:rPr>
            </w:pPr>
          </w:p>
          <w:p w:rsidR="00070B44" w:rsidRPr="00070B44" w:rsidRDefault="00070B44" w:rsidP="000602B0">
            <w:pPr>
              <w:rPr>
                <w:b/>
                <w:bCs/>
                <w:sz w:val="20"/>
                <w:szCs w:val="20"/>
              </w:rPr>
            </w:pPr>
          </w:p>
          <w:p w:rsidR="000602B0" w:rsidRPr="000602B0" w:rsidRDefault="000602B0" w:rsidP="000602B0">
            <w:pPr>
              <w:rPr>
                <w:b/>
                <w:sz w:val="20"/>
                <w:szCs w:val="20"/>
              </w:rPr>
            </w:pPr>
          </w:p>
          <w:p w:rsidR="00806F26" w:rsidRPr="00D91F3B" w:rsidRDefault="00806F26">
            <w:pPr>
              <w:rPr>
                <w:sz w:val="20"/>
                <w:szCs w:val="20"/>
              </w:rPr>
            </w:pPr>
          </w:p>
          <w:p w:rsidR="00D91F3B" w:rsidRDefault="00D91F3B">
            <w:pPr>
              <w:rPr>
                <w:sz w:val="20"/>
                <w:szCs w:val="20"/>
              </w:rPr>
            </w:pPr>
          </w:p>
          <w:p w:rsidR="00D91F3B" w:rsidRDefault="00D91F3B">
            <w:pPr>
              <w:rPr>
                <w:sz w:val="20"/>
                <w:szCs w:val="20"/>
              </w:rPr>
            </w:pPr>
          </w:p>
          <w:p w:rsidR="00D91F3B" w:rsidRDefault="00D91F3B">
            <w:pPr>
              <w:rPr>
                <w:sz w:val="20"/>
                <w:szCs w:val="20"/>
              </w:rPr>
            </w:pPr>
          </w:p>
          <w:p w:rsidR="00D91F3B" w:rsidRDefault="00D91F3B">
            <w:pPr>
              <w:rPr>
                <w:sz w:val="20"/>
                <w:szCs w:val="20"/>
              </w:rPr>
            </w:pPr>
          </w:p>
          <w:p w:rsidR="00D91F3B" w:rsidRDefault="00D91F3B">
            <w:pPr>
              <w:rPr>
                <w:sz w:val="20"/>
                <w:szCs w:val="20"/>
              </w:rPr>
            </w:pPr>
          </w:p>
          <w:p w:rsidR="00D91F3B" w:rsidRPr="007B2E5A" w:rsidRDefault="00D91F3B">
            <w:pPr>
              <w:rPr>
                <w:sz w:val="20"/>
                <w:szCs w:val="20"/>
              </w:rPr>
            </w:pPr>
          </w:p>
        </w:tc>
      </w:tr>
      <w:tr w:rsidR="00070B44" w:rsidTr="00D210F8">
        <w:tc>
          <w:tcPr>
            <w:tcW w:w="2660" w:type="dxa"/>
            <w:shd w:val="clear" w:color="auto" w:fill="8DB3E2" w:themeFill="text2" w:themeFillTint="66"/>
          </w:tcPr>
          <w:p w:rsidR="00070B44" w:rsidRDefault="00070B44"/>
        </w:tc>
        <w:tc>
          <w:tcPr>
            <w:tcW w:w="11484" w:type="dxa"/>
            <w:shd w:val="clear" w:color="auto" w:fill="DBE5F1" w:themeFill="accent1" w:themeFillTint="33"/>
          </w:tcPr>
          <w:p w:rsidR="00070B44" w:rsidRDefault="00070B44">
            <w:pPr>
              <w:rPr>
                <w:b/>
                <w:sz w:val="20"/>
                <w:szCs w:val="20"/>
              </w:rPr>
            </w:pPr>
          </w:p>
        </w:tc>
      </w:tr>
    </w:tbl>
    <w:p w:rsidR="006470F8" w:rsidRPr="006470F8" w:rsidRDefault="006470F8"/>
    <w:sectPr w:rsidR="006470F8" w:rsidRPr="006470F8" w:rsidSect="00E000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tion Man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529D"/>
    <w:multiLevelType w:val="hybridMultilevel"/>
    <w:tmpl w:val="A13A9D70"/>
    <w:lvl w:ilvl="0" w:tplc="3A540F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0F8"/>
    <w:rsid w:val="000602B0"/>
    <w:rsid w:val="00070B44"/>
    <w:rsid w:val="00090634"/>
    <w:rsid w:val="000A76E0"/>
    <w:rsid w:val="000C264B"/>
    <w:rsid w:val="000D3B0B"/>
    <w:rsid w:val="000D5C89"/>
    <w:rsid w:val="001B7FDA"/>
    <w:rsid w:val="001F7C4B"/>
    <w:rsid w:val="0026205C"/>
    <w:rsid w:val="00324ABB"/>
    <w:rsid w:val="00384BB0"/>
    <w:rsid w:val="003B20B1"/>
    <w:rsid w:val="003E4F23"/>
    <w:rsid w:val="003F6206"/>
    <w:rsid w:val="00426448"/>
    <w:rsid w:val="004906C2"/>
    <w:rsid w:val="004B4C82"/>
    <w:rsid w:val="00524E99"/>
    <w:rsid w:val="005A6E83"/>
    <w:rsid w:val="005C33AA"/>
    <w:rsid w:val="006204F9"/>
    <w:rsid w:val="006470F8"/>
    <w:rsid w:val="00672EAF"/>
    <w:rsid w:val="006A3075"/>
    <w:rsid w:val="00780EC6"/>
    <w:rsid w:val="007B2E5A"/>
    <w:rsid w:val="00806F26"/>
    <w:rsid w:val="00887625"/>
    <w:rsid w:val="008D51B0"/>
    <w:rsid w:val="009113A3"/>
    <w:rsid w:val="00A87D8D"/>
    <w:rsid w:val="00B04791"/>
    <w:rsid w:val="00B20489"/>
    <w:rsid w:val="00B57970"/>
    <w:rsid w:val="00BE6AE4"/>
    <w:rsid w:val="00C21EF7"/>
    <w:rsid w:val="00CE6303"/>
    <w:rsid w:val="00CE7B0C"/>
    <w:rsid w:val="00D210F8"/>
    <w:rsid w:val="00D22145"/>
    <w:rsid w:val="00D91F3B"/>
    <w:rsid w:val="00DF7695"/>
    <w:rsid w:val="00E000E5"/>
    <w:rsid w:val="00E11E2A"/>
    <w:rsid w:val="00E64D06"/>
    <w:rsid w:val="00EC1C67"/>
    <w:rsid w:val="00F8012D"/>
    <w:rsid w:val="00FA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6470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6470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C21E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D635-3F1B-4999-9F81-0C9DFA9B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2</cp:revision>
  <dcterms:created xsi:type="dcterms:W3CDTF">2020-04-16T09:14:00Z</dcterms:created>
  <dcterms:modified xsi:type="dcterms:W3CDTF">2020-04-16T09:14:00Z</dcterms:modified>
</cp:coreProperties>
</file>