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0F8" w:rsidRDefault="00DF7695">
      <w:pPr>
        <w:rPr>
          <w:b/>
          <w:i/>
          <w:u w:val="single"/>
        </w:rPr>
      </w:pPr>
      <w:r>
        <w:rPr>
          <w:b/>
          <w:i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-712470</wp:posOffset>
                </wp:positionV>
                <wp:extent cx="8982075" cy="582295"/>
                <wp:effectExtent l="25400" t="190500" r="174625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2075" cy="582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37E" w:rsidRPr="00DF7695" w:rsidRDefault="00DF7695" w:rsidP="00FA537E">
                            <w:pPr>
                              <w:jc w:val="center"/>
                              <w:rPr>
                                <w:rFonts w:ascii="Action Man Shaded" w:hAnsi="Action Man Shad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ction Man Shaded" w:hAnsi="Action Man Shaded"/>
                                <w:b/>
                                <w:bCs/>
                              </w:rPr>
                              <w:t>M</w:t>
                            </w:r>
                            <w:r w:rsidR="00FA537E" w:rsidRPr="00DF7695">
                              <w:rPr>
                                <w:rFonts w:ascii="Action Man Shaded" w:hAnsi="Action Man Shaded"/>
                                <w:b/>
                                <w:bCs/>
                              </w:rPr>
                              <w:t xml:space="preserve">edidas de atención a la diversidad en </w:t>
                            </w:r>
                            <w:r w:rsidR="00D57AF3">
                              <w:rPr>
                                <w:rFonts w:ascii="Action Man Shaded" w:hAnsi="Action Man Shaded"/>
                                <w:b/>
                                <w:bCs/>
                              </w:rPr>
                              <w:t>ciclos formativos de grado medio y grado superior de Formación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pt;margin-top:-56.1pt;width:707.2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" fillcolor="#95b3d7 [1940]">
                <v:fill color2="#dbe5f1 [660]" angle="135" focus="50%" type="gradient"/>
                <v:shadow color="#243f60 [1604]" opacity=".5" offset="1pt"/>
                <o:extrusion v:ext="view" color="#95b3d7 [1940]" on="t"/>
                <v:textbox>
                  <w:txbxContent>
                    <w:p w:rsidR="00FA537E" w:rsidRPr="00DF7695" w:rsidRDefault="00DF7695" w:rsidP="00FA537E">
                      <w:pPr>
                        <w:jc w:val="center"/>
                        <w:rPr>
                          <w:rFonts w:ascii="Action Man Shaded" w:hAnsi="Action Man Shaded"/>
                          <w:b/>
                          <w:bCs/>
                        </w:rPr>
                      </w:pPr>
                      <w:r>
                        <w:rPr>
                          <w:rFonts w:ascii="Action Man Shaded" w:hAnsi="Action Man Shaded"/>
                          <w:b/>
                          <w:bCs/>
                        </w:rPr>
                        <w:t>M</w:t>
                      </w:r>
                      <w:r w:rsidR="00FA537E" w:rsidRPr="00DF7695">
                        <w:rPr>
                          <w:rFonts w:ascii="Action Man Shaded" w:hAnsi="Action Man Shaded"/>
                          <w:b/>
                          <w:bCs/>
                        </w:rPr>
                        <w:t xml:space="preserve">edidas de atención a la diversidad en </w:t>
                      </w:r>
                      <w:r w:rsidR="00D57AF3">
                        <w:rPr>
                          <w:rFonts w:ascii="Action Man Shaded" w:hAnsi="Action Man Shaded"/>
                          <w:b/>
                          <w:bCs/>
                        </w:rPr>
                        <w:t>ciclos formativos de grado medio y grado superior de Formación Profesional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2"/>
        <w:gridCol w:w="11332"/>
      </w:tblGrid>
      <w:tr w:rsidR="006470F8" w:rsidTr="00AC6D86">
        <w:tc>
          <w:tcPr>
            <w:tcW w:w="2642" w:type="dxa"/>
            <w:shd w:val="clear" w:color="auto" w:fill="8DB3E2" w:themeFill="text2" w:themeFillTint="66"/>
          </w:tcPr>
          <w:p w:rsidR="006470F8" w:rsidRDefault="006470F8"/>
          <w:p w:rsidR="006470F8" w:rsidRDefault="006470F8"/>
          <w:p w:rsidR="006470F8" w:rsidRPr="00887625" w:rsidRDefault="006470F8">
            <w:pPr>
              <w:rPr>
                <w:b/>
                <w:sz w:val="24"/>
                <w:szCs w:val="24"/>
                <w:u w:val="single"/>
              </w:rPr>
            </w:pPr>
            <w:r w:rsidRPr="00887625">
              <w:rPr>
                <w:b/>
                <w:sz w:val="24"/>
                <w:szCs w:val="24"/>
                <w:u w:val="single"/>
              </w:rPr>
              <w:t>NORMATIVA</w:t>
            </w:r>
          </w:p>
          <w:p w:rsidR="006470F8" w:rsidRDefault="006470F8"/>
          <w:p w:rsidR="006470F8" w:rsidRDefault="006470F8"/>
          <w:p w:rsidR="006470F8" w:rsidRDefault="006470F8" w:rsidP="00E000E5">
            <w:pPr>
              <w:jc w:val="center"/>
            </w:pPr>
          </w:p>
          <w:p w:rsidR="006470F8" w:rsidRDefault="006470F8"/>
          <w:p w:rsidR="006470F8" w:rsidRDefault="006470F8"/>
        </w:tc>
        <w:tc>
          <w:tcPr>
            <w:tcW w:w="11332" w:type="dxa"/>
            <w:shd w:val="clear" w:color="auto" w:fill="DBE5F1" w:themeFill="accent1" w:themeFillTint="33"/>
          </w:tcPr>
          <w:p w:rsidR="00BE6AE4" w:rsidRDefault="00BE6AE4" w:rsidP="000D5C89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470F8" w:rsidRDefault="00672EAF" w:rsidP="00DF11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Real Decreto</w:t>
            </w:r>
            <w:r w:rsidR="00DF11BD">
              <w:rPr>
                <w:b/>
                <w:sz w:val="20"/>
                <w:szCs w:val="20"/>
                <w:u w:val="single"/>
              </w:rPr>
              <w:t xml:space="preserve"> 1147/2011, </w:t>
            </w:r>
            <w:r w:rsidR="00DF11BD" w:rsidRPr="00DF11BD">
              <w:rPr>
                <w:b/>
                <w:sz w:val="20"/>
                <w:szCs w:val="20"/>
              </w:rPr>
              <w:t>de 29 de julio, por el que se establece la ordenación general en formación profesional en el sistema educativo.</w:t>
            </w:r>
          </w:p>
          <w:p w:rsidR="00AC6D86" w:rsidRDefault="00AC6D86" w:rsidP="00DF11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43200" w:rsidRDefault="00743200" w:rsidP="00DF11BD">
            <w:pPr>
              <w:jc w:val="both"/>
              <w:rPr>
                <w:b/>
                <w:sz w:val="20"/>
                <w:szCs w:val="20"/>
              </w:rPr>
            </w:pPr>
            <w:r w:rsidRPr="00743200">
              <w:rPr>
                <w:b/>
                <w:sz w:val="20"/>
                <w:szCs w:val="20"/>
                <w:u w:val="single"/>
              </w:rPr>
              <w:t>Orden de 29 de septiembre de 2010,</w:t>
            </w:r>
            <w:r>
              <w:rPr>
                <w:b/>
                <w:sz w:val="20"/>
                <w:szCs w:val="20"/>
              </w:rPr>
              <w:t xml:space="preserve"> por la que se regula la evaluación, certificación, acreditación y </w:t>
            </w:r>
            <w:proofErr w:type="spellStart"/>
            <w:r>
              <w:rPr>
                <w:b/>
                <w:sz w:val="20"/>
                <w:szCs w:val="20"/>
              </w:rPr>
              <w:t>titulacoón</w:t>
            </w:r>
            <w:proofErr w:type="spellEnd"/>
            <w:r>
              <w:rPr>
                <w:b/>
                <w:sz w:val="20"/>
                <w:szCs w:val="20"/>
              </w:rPr>
              <w:t xml:space="preserve"> académica del alumnado que cursa enseñanzas de formación profesional inicial que forma parte del sistema educativo en la Comunidad Autónoma de Andalucía.</w:t>
            </w:r>
          </w:p>
          <w:p w:rsidR="00DF11BD" w:rsidRDefault="00DF11BD" w:rsidP="00743200"/>
        </w:tc>
      </w:tr>
      <w:tr w:rsidR="006470F8" w:rsidTr="00AC6D86">
        <w:trPr>
          <w:trHeight w:val="2526"/>
        </w:trPr>
        <w:tc>
          <w:tcPr>
            <w:tcW w:w="2642" w:type="dxa"/>
            <w:shd w:val="clear" w:color="auto" w:fill="8DB3E2" w:themeFill="text2" w:themeFillTint="66"/>
          </w:tcPr>
          <w:p w:rsidR="006470F8" w:rsidRDefault="006470F8"/>
          <w:p w:rsidR="006470F8" w:rsidRDefault="006470F8"/>
          <w:p w:rsidR="006470F8" w:rsidRPr="00090634" w:rsidRDefault="00090634">
            <w:pPr>
              <w:rPr>
                <w:b/>
                <w:u w:val="single"/>
              </w:rPr>
            </w:pPr>
            <w:r w:rsidRPr="00090634">
              <w:rPr>
                <w:b/>
                <w:u w:val="single"/>
              </w:rPr>
              <w:t xml:space="preserve">MEDIDAS GENERALES </w:t>
            </w:r>
          </w:p>
          <w:p w:rsidR="006470F8" w:rsidRDefault="006470F8"/>
          <w:p w:rsidR="006470F8" w:rsidRDefault="00B57970">
            <w:proofErr w:type="gramStart"/>
            <w:r>
              <w:t>( Alumnado</w:t>
            </w:r>
            <w:proofErr w:type="gramEnd"/>
            <w:r>
              <w:t xml:space="preserve"> en General )</w:t>
            </w:r>
          </w:p>
          <w:p w:rsidR="006470F8" w:rsidRDefault="006470F8"/>
          <w:p w:rsidR="006470F8" w:rsidRDefault="006470F8"/>
          <w:p w:rsidR="006470F8" w:rsidRDefault="006470F8"/>
          <w:p w:rsidR="006470F8" w:rsidRDefault="006470F8"/>
          <w:p w:rsidR="006470F8" w:rsidRDefault="006470F8"/>
        </w:tc>
        <w:tc>
          <w:tcPr>
            <w:tcW w:w="11332" w:type="dxa"/>
            <w:shd w:val="clear" w:color="auto" w:fill="DBE5F1" w:themeFill="accent1" w:themeFillTint="33"/>
          </w:tcPr>
          <w:p w:rsidR="003B20B1" w:rsidRDefault="003B20B1" w:rsidP="003F6206">
            <w:pPr>
              <w:jc w:val="both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:rsidR="001A38C5" w:rsidRDefault="003B20B1" w:rsidP="005F32C2">
            <w:pPr>
              <w:pStyle w:val="NormalWeb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3B20B1">
              <w:rPr>
                <w:rFonts w:cs="Arial"/>
                <w:b/>
                <w:bCs/>
                <w:sz w:val="20"/>
                <w:szCs w:val="20"/>
                <w:u w:val="single"/>
              </w:rPr>
              <w:t>A nivel de centro:</w:t>
            </w:r>
            <w:r w:rsidR="005F32C2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A38C5" w:rsidRPr="001A38C5" w:rsidRDefault="001A38C5" w:rsidP="005F32C2">
            <w:pPr>
              <w:pStyle w:val="NormalWeb"/>
              <w:rPr>
                <w:rFonts w:cstheme="minorHAnsi"/>
                <w:b/>
                <w:bCs/>
                <w:sz w:val="20"/>
                <w:szCs w:val="20"/>
              </w:rPr>
            </w:pPr>
            <w:r w:rsidRPr="001A38C5">
              <w:rPr>
                <w:rFonts w:cstheme="minorHAnsi"/>
                <w:b/>
                <w:bCs/>
                <w:sz w:val="20"/>
                <w:szCs w:val="20"/>
              </w:rPr>
              <w:t>Actividades de refuerzo destinadas a superar los módulos profesionales pendientes de evaluación positiva o desee mejorar los resultados obtenidos.</w:t>
            </w:r>
          </w:p>
          <w:p w:rsidR="001A38C5" w:rsidRDefault="001A38C5" w:rsidP="005F32C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D091C">
              <w:rPr>
                <w:rFonts w:cstheme="minorHAnsi"/>
                <w:sz w:val="20"/>
                <w:szCs w:val="20"/>
                <w:u w:val="single"/>
              </w:rPr>
              <w:t>Dirigidas 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El alumnado de primer curso de oferta completa que tenga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módulos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profesionales no superados mediante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parcial, o desee mejorar los resultados obtenidos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38C5" w:rsidRDefault="001A38C5" w:rsidP="001A38C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E</w:t>
            </w:r>
            <w:r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l alumnado de segundo curso de oferta completa que tenga </w:t>
            </w:r>
            <w:proofErr w:type="spellStart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>módulos</w:t>
            </w:r>
            <w:proofErr w:type="spellEnd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profesionales no superados mediante </w:t>
            </w:r>
            <w:proofErr w:type="spellStart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parcial y, por tanto, no pueda cursar los </w:t>
            </w:r>
            <w:proofErr w:type="spellStart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>módulos</w:t>
            </w:r>
            <w:proofErr w:type="spellEnd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profesionales de </w:t>
            </w:r>
            <w:proofErr w:type="spellStart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>formación</w:t>
            </w:r>
            <w:proofErr w:type="spellEnd"/>
            <w:r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en centros de trabajo y, si procede, proyecto</w:t>
            </w:r>
            <w:r w:rsidR="00FD09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32C2" w:rsidRPr="001A38C5" w:rsidRDefault="001A38C5" w:rsidP="005F32C2">
            <w:pPr>
              <w:pStyle w:val="NormalWeb"/>
              <w:rPr>
                <w:rFonts w:cstheme="minorHAnsi"/>
                <w:sz w:val="20"/>
                <w:szCs w:val="20"/>
              </w:rPr>
            </w:pPr>
            <w:r w:rsidRPr="00FD0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Cuando: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tendra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́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obligación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de asistir a clases y continuar con las actividades lectivas hasta la fecha de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finalización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régimen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ordinario de clase que no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sera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́ anterior al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día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22 de junio de cada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año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F32C2" w:rsidRPr="005F32C2" w:rsidRDefault="00FD091C" w:rsidP="005F32C2">
            <w:pPr>
              <w:pStyle w:val="NormalWeb"/>
              <w:rPr>
                <w:rFonts w:asciiTheme="minorHAnsi" w:hAnsiTheme="minorHAnsi" w:cstheme="minorHAnsi"/>
              </w:rPr>
            </w:pPr>
            <w:r w:rsidRPr="00FD0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Responsables: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el profesorado del equipo docente, junto con el equipo directivo del centro,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establecera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́, para este periodo del curso escolar, un horario para el profesorado que posibilite atender tanto las actividades de refuerzo destinadas a superar los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módulos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profesionales pendientes de </w:t>
            </w:r>
            <w:proofErr w:type="spellStart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="005F32C2" w:rsidRPr="005F32C2">
              <w:rPr>
                <w:rFonts w:asciiTheme="minorHAnsi" w:hAnsiTheme="minorHAnsi" w:cstheme="minorHAnsi"/>
                <w:sz w:val="20"/>
                <w:szCs w:val="20"/>
              </w:rPr>
              <w:t xml:space="preserve"> positiva</w:t>
            </w:r>
            <w:r w:rsidR="005F32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32C2" w:rsidRPr="005F32C2" w:rsidRDefault="005F32C2" w:rsidP="005F32C2">
            <w:pPr>
              <w:pStyle w:val="NormalWeb"/>
              <w:rPr>
                <w:rFonts w:asciiTheme="minorHAnsi" w:hAnsiTheme="minorHAnsi" w:cstheme="minorHAnsi"/>
              </w:rPr>
            </w:pPr>
          </w:p>
          <w:p w:rsidR="008C20E2" w:rsidRDefault="008C20E2" w:rsidP="00324A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091C" w:rsidRDefault="00FD091C" w:rsidP="008C20E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oma de decisiones relativas al desarrollo del </w:t>
            </w:r>
            <w:proofErr w:type="spellStart"/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currículo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adecuación</w:t>
            </w:r>
            <w:proofErr w:type="spellEnd"/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las </w:t>
            </w:r>
            <w:proofErr w:type="spellStart"/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características</w:t>
            </w:r>
            <w:proofErr w:type="spellEnd"/>
            <w:r w:rsidRPr="00FD0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capacidades y conocimientos del alumnado.</w:t>
            </w: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091C" w:rsidRDefault="00FD091C" w:rsidP="008C20E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D0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Dirigidas 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Todo el alumnado.</w:t>
            </w:r>
          </w:p>
          <w:p w:rsidR="008C20E2" w:rsidRDefault="00FD091C" w:rsidP="008C20E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D0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Cuando: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esión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inicial de ciclos formativos.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n la que el profesor o profesora que se encargue de la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tutoría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del grupo facilitará al equipo docente la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información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disponible sobre las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características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generales del mismo y sobre las circunstancias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específicamente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académicas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o personales con incidencia educativa de cuantos alumnos y alumnas lo componen. Esta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información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́ proceder de: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) Los informes individualizados de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 la etapa anteriormente cursada que consten en el centro docente o que aporte el alumnado.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b) Los estudios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académicos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o las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enseñanzas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formación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profesional previamente cursadas, tanto en el sistema educativo como dentro de la oferta de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formación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para el empleo.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c) El acceso mediante prueba para el alumnado sin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titulación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d) Los informes o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dictámenes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específicos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del alumnado con discapacidad o con necesidades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específicas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 apoyo educativo que pertenezcan al grupo.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e) La experiencia profesional previa del alumnado.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f) La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matrícula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condicional del alumnado pendiente de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mologación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 un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título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extranjero. </w:t>
            </w:r>
          </w:p>
          <w:p w:rsidR="008C20E2" w:rsidRPr="008C20E2" w:rsidRDefault="008C20E2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g) La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observación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del alumnado y las actividades realiza- das en las primeras semanas del curso </w:t>
            </w:r>
            <w:proofErr w:type="spellStart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>académico</w:t>
            </w:r>
            <w:proofErr w:type="spellEnd"/>
            <w:r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C20E2" w:rsidRPr="008C20E2" w:rsidRDefault="00FD091C" w:rsidP="008C20E2">
            <w:pPr>
              <w:pStyle w:val="NormalWeb"/>
              <w:rPr>
                <w:rFonts w:asciiTheme="minorHAnsi" w:hAnsiTheme="minorHAnsi" w:cstheme="minorHAnsi"/>
              </w:rPr>
            </w:pPr>
            <w:r w:rsidRPr="00FD0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Responsables: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equipo docente y, en su caso, el departamento de familia profesional, para la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adecuación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 currículo </w:t>
            </w:r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a las </w:t>
            </w:r>
            <w:proofErr w:type="spellStart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>características</w:t>
            </w:r>
            <w:proofErr w:type="spellEnd"/>
            <w:r w:rsidR="008C20E2" w:rsidRPr="008C20E2">
              <w:rPr>
                <w:rFonts w:asciiTheme="minorHAnsi" w:hAnsiTheme="minorHAnsi" w:cstheme="minorHAnsi"/>
                <w:sz w:val="20"/>
                <w:szCs w:val="20"/>
              </w:rPr>
              <w:t xml:space="preserve">, capacidades y conocimientos del alumnado. </w:t>
            </w:r>
          </w:p>
          <w:p w:rsidR="003B20B1" w:rsidRPr="003B20B1" w:rsidRDefault="00F8012D" w:rsidP="00324AB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470F8" w:rsidTr="00AC6D86">
        <w:tc>
          <w:tcPr>
            <w:tcW w:w="2642" w:type="dxa"/>
            <w:shd w:val="clear" w:color="auto" w:fill="8DB3E2" w:themeFill="text2" w:themeFillTint="66"/>
          </w:tcPr>
          <w:p w:rsidR="006470F8" w:rsidRDefault="006470F8"/>
          <w:p w:rsidR="006470F8" w:rsidRDefault="00B57970">
            <w:pPr>
              <w:rPr>
                <w:b/>
                <w:u w:val="single"/>
              </w:rPr>
            </w:pPr>
            <w:r w:rsidRPr="00B57970">
              <w:rPr>
                <w:b/>
                <w:u w:val="single"/>
              </w:rPr>
              <w:t>MEDIDAS ESPECÍFICAS</w:t>
            </w:r>
            <w:r>
              <w:rPr>
                <w:b/>
                <w:u w:val="single"/>
              </w:rPr>
              <w:t>.</w:t>
            </w:r>
          </w:p>
          <w:p w:rsidR="00B57970" w:rsidRDefault="00B57970">
            <w:pPr>
              <w:rPr>
                <w:b/>
                <w:u w:val="single"/>
              </w:rPr>
            </w:pPr>
          </w:p>
          <w:p w:rsidR="00B57970" w:rsidRPr="00B57970" w:rsidRDefault="00B57970">
            <w:proofErr w:type="gramStart"/>
            <w:r>
              <w:t>( Alumnado</w:t>
            </w:r>
            <w:proofErr w:type="gramEnd"/>
            <w:r>
              <w:t xml:space="preserve"> con necesidades específicas de Apoyo educativo  NEAE)</w:t>
            </w:r>
          </w:p>
          <w:p w:rsidR="006470F8" w:rsidRPr="00B57970" w:rsidRDefault="006470F8">
            <w:pPr>
              <w:rPr>
                <w:b/>
                <w:u w:val="single"/>
              </w:rPr>
            </w:pPr>
          </w:p>
          <w:p w:rsidR="006470F8" w:rsidRDefault="006470F8"/>
          <w:p w:rsidR="006470F8" w:rsidRDefault="006470F8"/>
          <w:p w:rsidR="006470F8" w:rsidRDefault="006470F8"/>
          <w:p w:rsidR="006470F8" w:rsidRDefault="006470F8"/>
        </w:tc>
        <w:tc>
          <w:tcPr>
            <w:tcW w:w="11332" w:type="dxa"/>
            <w:shd w:val="clear" w:color="auto" w:fill="DBE5F1" w:themeFill="accent1" w:themeFillTint="33"/>
          </w:tcPr>
          <w:p w:rsidR="00806F26" w:rsidRDefault="00806F26">
            <w:pPr>
              <w:rPr>
                <w:b/>
                <w:sz w:val="20"/>
                <w:szCs w:val="20"/>
              </w:rPr>
            </w:pPr>
          </w:p>
          <w:p w:rsidR="00174733" w:rsidRPr="00174733" w:rsidRDefault="00174733" w:rsidP="0017473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NewsGotT" w:hAnsi="NewsGotT"/>
                <w:b/>
                <w:bCs/>
                <w:sz w:val="20"/>
                <w:szCs w:val="20"/>
              </w:rPr>
              <w:t>A</w:t>
            </w:r>
            <w:r w:rsidRPr="00174733">
              <w:rPr>
                <w:rFonts w:ascii="NewsGotT" w:hAnsi="NewsGotT"/>
                <w:b/>
                <w:bCs/>
                <w:sz w:val="20"/>
                <w:szCs w:val="20"/>
              </w:rPr>
              <w:t>decuación</w:t>
            </w:r>
            <w:proofErr w:type="spellEnd"/>
            <w:r w:rsidRPr="00174733">
              <w:rPr>
                <w:rFonts w:ascii="NewsGotT" w:hAnsi="NewsGotT"/>
                <w:b/>
                <w:bCs/>
                <w:sz w:val="20"/>
                <w:szCs w:val="20"/>
              </w:rPr>
              <w:t xml:space="preserve"> de las actividades formativas, as</w:t>
            </w:r>
            <w:r>
              <w:rPr>
                <w:rFonts w:ascii="NewsGotT" w:hAnsi="NewsGotT"/>
                <w:b/>
                <w:bCs/>
                <w:sz w:val="20"/>
                <w:szCs w:val="20"/>
              </w:rPr>
              <w:t xml:space="preserve">í </w:t>
            </w:r>
            <w:r w:rsidRPr="00174733">
              <w:rPr>
                <w:rFonts w:ascii="NewsGotT" w:hAnsi="NewsGotT"/>
                <w:b/>
                <w:bCs/>
                <w:sz w:val="20"/>
                <w:szCs w:val="20"/>
              </w:rPr>
              <w:t xml:space="preserve">como de los criterios y los procedimientos de </w:t>
            </w:r>
            <w:proofErr w:type="spellStart"/>
            <w:r w:rsidRPr="00174733">
              <w:rPr>
                <w:rFonts w:ascii="NewsGotT" w:hAnsi="NewsGotT"/>
                <w:b/>
                <w:bCs/>
                <w:sz w:val="20"/>
                <w:szCs w:val="20"/>
              </w:rPr>
              <w:t>evaluación</w:t>
            </w:r>
            <w:proofErr w:type="spellEnd"/>
            <w:r>
              <w:rPr>
                <w:rFonts w:ascii="NewsGotT" w:hAnsi="NewsGotT"/>
                <w:b/>
                <w:bCs/>
                <w:sz w:val="20"/>
                <w:szCs w:val="20"/>
              </w:rPr>
              <w:t>.</w:t>
            </w:r>
            <w:r w:rsidRPr="00174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74733">
              <w:rPr>
                <w:rFonts w:asciiTheme="minorHAnsi" w:hAnsiTheme="minorHAnsi" w:cstheme="minorHAnsi"/>
                <w:sz w:val="20"/>
                <w:szCs w:val="20"/>
              </w:rPr>
              <w:t>Adaptaciones metodológicas y g</w:t>
            </w:r>
            <w:r w:rsidRPr="00174733">
              <w:rPr>
                <w:rFonts w:asciiTheme="minorHAnsi" w:hAnsiTheme="minorHAnsi" w:cstheme="minorHAnsi"/>
                <w:sz w:val="20"/>
                <w:szCs w:val="20"/>
              </w:rPr>
              <w:t>arantía de accesibilidad a las pruebas de evaluación.</w:t>
            </w:r>
            <w:r w:rsidRPr="00174733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:rsidR="00174733" w:rsidRPr="00174733" w:rsidRDefault="00174733" w:rsidP="0017473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7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Dirigido a: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 xml:space="preserve">alumnado con </w:t>
            </w:r>
            <w:proofErr w:type="spellStart"/>
            <w:r>
              <w:rPr>
                <w:rFonts w:ascii="NewsGotT" w:hAnsi="NewsGotT"/>
                <w:sz w:val="20"/>
                <w:szCs w:val="20"/>
              </w:rPr>
              <w:t>algún</w:t>
            </w:r>
            <w:proofErr w:type="spellEnd"/>
            <w:r>
              <w:rPr>
                <w:rFonts w:ascii="NewsGotT" w:hAnsi="NewsGotT"/>
                <w:sz w:val="20"/>
                <w:szCs w:val="20"/>
              </w:rPr>
              <w:t xml:space="preserve"> tipo de discapacidad, </w:t>
            </w:r>
            <w:proofErr w:type="spellStart"/>
            <w:r>
              <w:rPr>
                <w:rFonts w:ascii="NewsGotT" w:hAnsi="NewsGotT"/>
                <w:sz w:val="20"/>
                <w:szCs w:val="20"/>
              </w:rPr>
              <w:t>garantizándose</w:t>
            </w:r>
            <w:proofErr w:type="spellEnd"/>
            <w:r>
              <w:rPr>
                <w:rFonts w:ascii="NewsGotT" w:hAnsi="NewsGotT"/>
                <w:sz w:val="20"/>
                <w:szCs w:val="20"/>
              </w:rPr>
              <w:t xml:space="preserve"> el acceso a las pruebas de </w:t>
            </w:r>
            <w:proofErr w:type="spellStart"/>
            <w:r>
              <w:rPr>
                <w:rFonts w:ascii="NewsGotT" w:hAnsi="NewsGotT"/>
                <w:sz w:val="20"/>
                <w:szCs w:val="20"/>
              </w:rPr>
              <w:t>evaluación</w:t>
            </w:r>
            <w:proofErr w:type="spellEnd"/>
            <w:r>
              <w:rPr>
                <w:rFonts w:ascii="NewsGotT" w:hAnsi="NewsGotT"/>
                <w:sz w:val="20"/>
                <w:szCs w:val="20"/>
              </w:rPr>
              <w:t xml:space="preserve">. </w:t>
            </w:r>
          </w:p>
          <w:p w:rsidR="00174733" w:rsidRDefault="00AC6D86" w:rsidP="00174733">
            <w:pPr>
              <w:pStyle w:val="NormalWeb"/>
              <w:rPr>
                <w:rFonts w:ascii="NewsGotT" w:hAnsi="NewsGotT"/>
                <w:sz w:val="20"/>
                <w:szCs w:val="20"/>
              </w:rPr>
            </w:pPr>
            <w:proofErr w:type="spellStart"/>
            <w:r>
              <w:rPr>
                <w:rFonts w:ascii="NewsGotT" w:hAnsi="NewsGotT"/>
                <w:sz w:val="20"/>
                <w:szCs w:val="20"/>
              </w:rPr>
              <w:t>Caracteristicas</w:t>
            </w:r>
            <w:proofErr w:type="spellEnd"/>
            <w:r>
              <w:rPr>
                <w:rFonts w:ascii="NewsGotT" w:hAnsi="NewsGotT"/>
                <w:sz w:val="20"/>
                <w:szCs w:val="20"/>
              </w:rPr>
              <w:t xml:space="preserve">: </w:t>
            </w:r>
            <w:r w:rsidR="00174733">
              <w:rPr>
                <w:rFonts w:ascii="NewsGotT" w:hAnsi="NewsGotT"/>
                <w:sz w:val="20"/>
                <w:szCs w:val="20"/>
              </w:rPr>
              <w:t xml:space="preserve">Esta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adaptación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 en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ningún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 caso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supondra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́ la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supresión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 de resultados de aprendizaje y objetivos generales del ciclo que afecten a la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adquisición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 de la competencia general del </w:t>
            </w:r>
            <w:proofErr w:type="spellStart"/>
            <w:r w:rsidR="00174733">
              <w:rPr>
                <w:rFonts w:ascii="NewsGotT" w:hAnsi="NewsGotT"/>
                <w:sz w:val="20"/>
                <w:szCs w:val="20"/>
              </w:rPr>
              <w:t>título</w:t>
            </w:r>
            <w:proofErr w:type="spellEnd"/>
            <w:r w:rsidR="00174733">
              <w:rPr>
                <w:rFonts w:ascii="NewsGotT" w:hAnsi="NewsGotT"/>
                <w:sz w:val="20"/>
                <w:szCs w:val="20"/>
              </w:rPr>
              <w:t xml:space="preserve">. </w:t>
            </w:r>
          </w:p>
          <w:p w:rsidR="00174733" w:rsidRPr="00AC6D86" w:rsidRDefault="00AC6D86" w:rsidP="00174733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="NewsGotT" w:hAnsi="NewsGotT"/>
                <w:sz w:val="20"/>
                <w:szCs w:val="20"/>
                <w:u w:val="single"/>
              </w:rPr>
              <w:t xml:space="preserve">Responsable: </w:t>
            </w:r>
            <w:r w:rsidRPr="00AC6D86">
              <w:rPr>
                <w:rFonts w:ascii="NewsGotT" w:hAnsi="NewsGotT"/>
                <w:sz w:val="20"/>
                <w:szCs w:val="20"/>
              </w:rPr>
              <w:t>Equipo docente</w:t>
            </w:r>
          </w:p>
          <w:p w:rsidR="00174733" w:rsidRDefault="00AC6D86" w:rsidP="0017473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Derecho a una c</w:t>
            </w:r>
            <w:r w:rsidR="00174733" w:rsidRPr="00174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onvocatoria extraordinaria</w:t>
            </w:r>
          </w:p>
          <w:p w:rsidR="00D91F3B" w:rsidRDefault="00174733" w:rsidP="00AC6D86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Dirigida a: </w:t>
            </w:r>
            <w:r w:rsidRPr="00DF11BD">
              <w:rPr>
                <w:rFonts w:asciiTheme="minorHAnsi" w:hAnsiTheme="minorHAnsi" w:cstheme="minorHAnsi"/>
                <w:sz w:val="20"/>
                <w:szCs w:val="20"/>
              </w:rPr>
              <w:t xml:space="preserve">aquellas personas que hayan agotado las cuatro convocatorias por motivos de enfermedad o discapacidad u otros que condicionen o impidan el desarrollo ordinario de los estudios. </w:t>
            </w:r>
          </w:p>
          <w:p w:rsidR="00AC6D86" w:rsidRPr="00AC6D86" w:rsidRDefault="00AC6D86" w:rsidP="00AC6D8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470F8" w:rsidRPr="006470F8" w:rsidRDefault="006470F8"/>
    <w:sectPr w:rsidR="006470F8" w:rsidRPr="006470F8" w:rsidSect="00E000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ction Man Shaded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706"/>
    <w:multiLevelType w:val="hybridMultilevel"/>
    <w:tmpl w:val="A68009EA"/>
    <w:lvl w:ilvl="0" w:tplc="FA6EF7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529D"/>
    <w:multiLevelType w:val="hybridMultilevel"/>
    <w:tmpl w:val="A13A9D70"/>
    <w:lvl w:ilvl="0" w:tplc="3A540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8"/>
    <w:rsid w:val="000602B0"/>
    <w:rsid w:val="00070B44"/>
    <w:rsid w:val="00090634"/>
    <w:rsid w:val="000A76E0"/>
    <w:rsid w:val="000C264B"/>
    <w:rsid w:val="000D3B0B"/>
    <w:rsid w:val="000D5C89"/>
    <w:rsid w:val="00174733"/>
    <w:rsid w:val="001A38C5"/>
    <w:rsid w:val="001B7FDA"/>
    <w:rsid w:val="001F7C4B"/>
    <w:rsid w:val="0026205C"/>
    <w:rsid w:val="00324ABB"/>
    <w:rsid w:val="003657B6"/>
    <w:rsid w:val="00384BB0"/>
    <w:rsid w:val="003B20B1"/>
    <w:rsid w:val="003E4F23"/>
    <w:rsid w:val="003F6206"/>
    <w:rsid w:val="00426448"/>
    <w:rsid w:val="004906C2"/>
    <w:rsid w:val="00524E99"/>
    <w:rsid w:val="005C33AA"/>
    <w:rsid w:val="005F32C2"/>
    <w:rsid w:val="006204F9"/>
    <w:rsid w:val="006470F8"/>
    <w:rsid w:val="00672EAF"/>
    <w:rsid w:val="006A3075"/>
    <w:rsid w:val="00743200"/>
    <w:rsid w:val="00780EC6"/>
    <w:rsid w:val="007B2E5A"/>
    <w:rsid w:val="00806F26"/>
    <w:rsid w:val="00887625"/>
    <w:rsid w:val="008C20E2"/>
    <w:rsid w:val="008D51B0"/>
    <w:rsid w:val="00A87D8D"/>
    <w:rsid w:val="00AC6D86"/>
    <w:rsid w:val="00B04791"/>
    <w:rsid w:val="00B20489"/>
    <w:rsid w:val="00B57970"/>
    <w:rsid w:val="00BE6AE4"/>
    <w:rsid w:val="00C21EF7"/>
    <w:rsid w:val="00CE6303"/>
    <w:rsid w:val="00CE7B0C"/>
    <w:rsid w:val="00D210F8"/>
    <w:rsid w:val="00D22145"/>
    <w:rsid w:val="00D33C4D"/>
    <w:rsid w:val="00D57AF3"/>
    <w:rsid w:val="00D91F3B"/>
    <w:rsid w:val="00DF11BD"/>
    <w:rsid w:val="00DF7695"/>
    <w:rsid w:val="00E000E5"/>
    <w:rsid w:val="00E11E2A"/>
    <w:rsid w:val="00E64D06"/>
    <w:rsid w:val="00EC1C67"/>
    <w:rsid w:val="00F8012D"/>
    <w:rsid w:val="00FA537E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E73"/>
  <w15:docId w15:val="{5926C722-A804-FA4E-82D9-EB1B8D9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6470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470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C21E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4320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4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3C26-2858-4F35-876B-8847B7C5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Microsoft Office User</cp:lastModifiedBy>
  <cp:revision>3</cp:revision>
  <dcterms:created xsi:type="dcterms:W3CDTF">2020-04-17T09:31:00Z</dcterms:created>
  <dcterms:modified xsi:type="dcterms:W3CDTF">2020-04-17T10:33:00Z</dcterms:modified>
</cp:coreProperties>
</file>