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25.0" w:type="dxa"/>
        <w:tblLayout w:type="fixed"/>
        <w:tblLook w:val="0000"/>
      </w:tblPr>
      <w:tblGrid>
        <w:gridCol w:w="105"/>
        <w:gridCol w:w="2475"/>
        <w:gridCol w:w="3540"/>
        <w:gridCol w:w="2415"/>
        <w:gridCol w:w="525"/>
        <w:tblGridChange w:id="0">
          <w:tblGrid>
            <w:gridCol w:w="105"/>
            <w:gridCol w:w="2475"/>
            <w:gridCol w:w="3540"/>
            <w:gridCol w:w="2415"/>
            <w:gridCol w:w="52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  <w:drawing>
                <wp:inline distB="0" distT="0" distL="114300" distR="114300">
                  <wp:extent cx="934085" cy="93345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C/ PALOMAR, 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      MIJAS-COSTA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          (MÁLAGA)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114300" distR="114300">
                  <wp:extent cx="1181100" cy="71374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13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  <w:rtl w:val="0"/>
              </w:rPr>
              <w:t xml:space="preserve">BUENAS PRÁCTICAS EN LA PRÁCTICA DOCENTE: TÍTULO</w:t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FECHA O PERÍODO  DE REALIZACIÓN: </w:t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PARTICIPANTES: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OBJETIVOS QUE SE PRETENDEN CONSEGUIR: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ORGANIZACIÓN PREVIA: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DESARROLLO DE LA PRÁCTICA EDUCATIVA: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MECANISMOS PARA VALORAR SU EFICACIA: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