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714" w:type="dxa"/>
        <w:tblLook w:val="04A0"/>
      </w:tblPr>
      <w:tblGrid>
        <w:gridCol w:w="1301"/>
        <w:gridCol w:w="1300"/>
        <w:gridCol w:w="1200"/>
        <w:gridCol w:w="517"/>
        <w:gridCol w:w="288"/>
        <w:gridCol w:w="445"/>
        <w:gridCol w:w="283"/>
        <w:gridCol w:w="242"/>
        <w:gridCol w:w="725"/>
        <w:gridCol w:w="1350"/>
        <w:gridCol w:w="1063"/>
      </w:tblGrid>
      <w:tr w:rsidR="0034476B">
        <w:tc>
          <w:tcPr>
            <w:tcW w:w="8713" w:type="dxa"/>
            <w:gridSpan w:val="11"/>
            <w:shd w:val="clear" w:color="auto" w:fill="auto"/>
          </w:tcPr>
          <w:p w:rsidR="0034476B" w:rsidRDefault="00A205B1">
            <w:pPr>
              <w:jc w:val="center"/>
            </w:pPr>
            <w:r>
              <w:rPr>
                <w:b/>
                <w:color w:val="008000"/>
              </w:rPr>
              <w:t>1. IDENTIFICACIÓN</w:t>
            </w:r>
          </w:p>
        </w:tc>
      </w:tr>
      <w:tr w:rsidR="0034476B">
        <w:tc>
          <w:tcPr>
            <w:tcW w:w="2600" w:type="dxa"/>
            <w:gridSpan w:val="2"/>
            <w:tcBorders>
              <w:top w:val="nil"/>
            </w:tcBorders>
            <w:shd w:val="clear" w:color="auto" w:fill="auto"/>
          </w:tcPr>
          <w:p w:rsidR="0034476B" w:rsidRDefault="00A205B1">
            <w:pPr>
              <w:rPr>
                <w:b/>
              </w:rPr>
            </w:pPr>
            <w:r>
              <w:rPr>
                <w:b/>
              </w:rPr>
              <w:t>Materia</w:t>
            </w:r>
            <w:r w:rsidR="00C01FEC">
              <w:rPr>
                <w:b/>
              </w:rPr>
              <w:t xml:space="preserve">: </w:t>
            </w:r>
            <w:r w:rsidR="00C01FEC" w:rsidRPr="00C01FEC">
              <w:t>Biología y geología</w:t>
            </w:r>
          </w:p>
        </w:tc>
        <w:tc>
          <w:tcPr>
            <w:tcW w:w="1717" w:type="dxa"/>
            <w:gridSpan w:val="2"/>
            <w:tcBorders>
              <w:top w:val="nil"/>
            </w:tcBorders>
            <w:shd w:val="clear" w:color="auto" w:fill="auto"/>
          </w:tcPr>
          <w:p w:rsidR="0034476B" w:rsidRDefault="00A205B1">
            <w:pPr>
              <w:rPr>
                <w:b/>
              </w:rPr>
            </w:pPr>
            <w:r>
              <w:rPr>
                <w:b/>
              </w:rPr>
              <w:t>Curso</w:t>
            </w:r>
            <w:r w:rsidR="00C01FEC">
              <w:rPr>
                <w:b/>
              </w:rPr>
              <w:t xml:space="preserve">: </w:t>
            </w:r>
            <w:r w:rsidR="00C01FEC" w:rsidRPr="00C01FEC">
              <w:t>3º ESO</w:t>
            </w:r>
          </w:p>
        </w:tc>
        <w:tc>
          <w:tcPr>
            <w:tcW w:w="4396" w:type="dxa"/>
            <w:gridSpan w:val="7"/>
            <w:tcBorders>
              <w:top w:val="nil"/>
            </w:tcBorders>
            <w:shd w:val="clear" w:color="auto" w:fill="auto"/>
          </w:tcPr>
          <w:p w:rsidR="0034476B" w:rsidRDefault="00A205B1">
            <w:pPr>
              <w:rPr>
                <w:b/>
              </w:rPr>
            </w:pPr>
            <w:r>
              <w:rPr>
                <w:b/>
              </w:rPr>
              <w:t>Título</w:t>
            </w:r>
            <w:r w:rsidR="00C01FEC">
              <w:rPr>
                <w:b/>
              </w:rPr>
              <w:t xml:space="preserve">: </w:t>
            </w:r>
            <w:proofErr w:type="spellStart"/>
            <w:r w:rsidR="00C01FEC" w:rsidRPr="00C01FEC">
              <w:t>The</w:t>
            </w:r>
            <w:proofErr w:type="spellEnd"/>
            <w:r w:rsidR="00C01FEC" w:rsidRPr="00C01FEC">
              <w:t xml:space="preserve"> </w:t>
            </w:r>
            <w:proofErr w:type="spellStart"/>
            <w:r w:rsidR="00C01FEC" w:rsidRPr="00C01FEC">
              <w:t>Mediterranean</w:t>
            </w:r>
            <w:proofErr w:type="spellEnd"/>
            <w:r w:rsidR="00C01FEC" w:rsidRPr="00C01FEC">
              <w:t xml:space="preserve"> </w:t>
            </w:r>
            <w:proofErr w:type="spellStart"/>
            <w:r w:rsidR="00C01FEC" w:rsidRPr="00C01FEC">
              <w:t>Diet</w:t>
            </w:r>
            <w:proofErr w:type="spellEnd"/>
          </w:p>
        </w:tc>
      </w:tr>
      <w:tr w:rsidR="0034476B">
        <w:tc>
          <w:tcPr>
            <w:tcW w:w="5575" w:type="dxa"/>
            <w:gridSpan w:val="8"/>
            <w:shd w:val="clear" w:color="auto" w:fill="auto"/>
          </w:tcPr>
          <w:p w:rsidR="0034476B" w:rsidRPr="00C01FEC" w:rsidRDefault="00A205B1">
            <w:proofErr w:type="spellStart"/>
            <w:r>
              <w:rPr>
                <w:b/>
              </w:rPr>
              <w:t>Temporalización</w:t>
            </w:r>
            <w:proofErr w:type="spellEnd"/>
            <w:r>
              <w:rPr>
                <w:b/>
              </w:rPr>
              <w:t>:</w:t>
            </w:r>
            <w:r w:rsidR="00C01FEC">
              <w:rPr>
                <w:b/>
              </w:rPr>
              <w:t xml:space="preserve"> </w:t>
            </w:r>
            <w:r w:rsidR="00C01FEC">
              <w:t>Principios del tercer trimestre</w:t>
            </w:r>
          </w:p>
        </w:tc>
        <w:tc>
          <w:tcPr>
            <w:tcW w:w="3138" w:type="dxa"/>
            <w:gridSpan w:val="3"/>
            <w:shd w:val="clear" w:color="auto" w:fill="auto"/>
          </w:tcPr>
          <w:p w:rsidR="0034476B" w:rsidRDefault="00A205B1">
            <w:pPr>
              <w:rPr>
                <w:b/>
              </w:rPr>
            </w:pPr>
            <w:r>
              <w:rPr>
                <w:b/>
              </w:rPr>
              <w:t>Nº sesiones:</w:t>
            </w:r>
            <w:r w:rsidR="00C01FEC">
              <w:rPr>
                <w:b/>
              </w:rPr>
              <w:t xml:space="preserve"> </w:t>
            </w:r>
            <w:r w:rsidR="00C01FEC" w:rsidRPr="00C01FEC">
              <w:t>2</w:t>
            </w:r>
          </w:p>
        </w:tc>
      </w:tr>
      <w:tr w:rsidR="0034476B">
        <w:tc>
          <w:tcPr>
            <w:tcW w:w="8713" w:type="dxa"/>
            <w:gridSpan w:val="11"/>
            <w:shd w:val="clear" w:color="auto" w:fill="auto"/>
          </w:tcPr>
          <w:p w:rsidR="0034476B" w:rsidRDefault="00A205B1">
            <w:pPr>
              <w:jc w:val="center"/>
              <w:rPr>
                <w:b/>
              </w:rPr>
            </w:pPr>
            <w:r>
              <w:rPr>
                <w:b/>
              </w:rPr>
              <w:t>Presentación/descripción actividad</w:t>
            </w:r>
          </w:p>
        </w:tc>
      </w:tr>
      <w:tr w:rsidR="0034476B">
        <w:tc>
          <w:tcPr>
            <w:tcW w:w="8713" w:type="dxa"/>
            <w:gridSpan w:val="11"/>
            <w:shd w:val="clear" w:color="auto" w:fill="auto"/>
          </w:tcPr>
          <w:p w:rsidR="0034476B" w:rsidRDefault="0034476B"/>
          <w:p w:rsidR="00C01FEC" w:rsidRDefault="00C01FEC">
            <w:r>
              <w:t xml:space="preserve">El alumnado aprenderá cuales son los alimentos característicos de la dieta mediterránea relacionándolas con la geología del terreno de la isla de </w:t>
            </w:r>
            <w:proofErr w:type="spellStart"/>
            <w:r>
              <w:t>Pantelleria</w:t>
            </w:r>
            <w:proofErr w:type="spellEnd"/>
            <w:r>
              <w:t>, Italia, lugar entre tantos otros dónde la población sigue mayoritariamente la dieta. La actividad consta de dos partes. En la primera, los alumnos deberán leer y comprender el texto adjunto tomado de un congreso que se realizó en la isla. Se realizará en grupos de 3 ó 5 personas dependiendo del número de alumnos y alumnas del aula. Cada grupo leerá un párrafo del texto y contestará a las preguntas correspondientes. Deberán explicar al resto de sus compañeros lo que han aprendido y les ayudarán a contestar al resto de las preguntas.</w:t>
            </w:r>
          </w:p>
          <w:p w:rsidR="0034476B" w:rsidRDefault="00C01FEC">
            <w:r>
              <w:t>En la segunda parte, cada estudiante, de forma individual, deberá reflexionar sobre su propia dieta y pensar en las posibles mejoras que pueden aplicar.</w:t>
            </w:r>
          </w:p>
          <w:p w:rsidR="0034476B" w:rsidRDefault="0034476B"/>
        </w:tc>
      </w:tr>
      <w:tr w:rsidR="0034476B">
        <w:tc>
          <w:tcPr>
            <w:tcW w:w="8713" w:type="dxa"/>
            <w:gridSpan w:val="11"/>
            <w:shd w:val="clear" w:color="auto" w:fill="auto"/>
          </w:tcPr>
          <w:p w:rsidR="0034476B" w:rsidRDefault="00A205B1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2. CONCRECIÓN CURRICULAR</w:t>
            </w:r>
          </w:p>
        </w:tc>
      </w:tr>
      <w:tr w:rsidR="0034476B">
        <w:tc>
          <w:tcPr>
            <w:tcW w:w="8713" w:type="dxa"/>
            <w:gridSpan w:val="11"/>
            <w:tcBorders>
              <w:top w:val="nil"/>
            </w:tcBorders>
            <w:shd w:val="clear" w:color="auto" w:fill="auto"/>
          </w:tcPr>
          <w:p w:rsidR="0034476B" w:rsidRDefault="00A205B1">
            <w:pPr>
              <w:jc w:val="center"/>
            </w:pPr>
            <w:r>
              <w:rPr>
                <w:b/>
              </w:rPr>
              <w:t>Competencias clave</w:t>
            </w:r>
          </w:p>
        </w:tc>
      </w:tr>
      <w:tr w:rsidR="0034476B">
        <w:tc>
          <w:tcPr>
            <w:tcW w:w="1300" w:type="dxa"/>
            <w:shd w:val="clear" w:color="auto" w:fill="auto"/>
          </w:tcPr>
          <w:p w:rsidR="0034476B" w:rsidRDefault="00A205B1">
            <w:pPr>
              <w:jc w:val="center"/>
            </w:pPr>
            <w:r>
              <w:rPr>
                <w:b/>
              </w:rPr>
              <w:t>*CCL</w:t>
            </w:r>
          </w:p>
        </w:tc>
        <w:tc>
          <w:tcPr>
            <w:tcW w:w="1300" w:type="dxa"/>
            <w:shd w:val="clear" w:color="auto" w:fill="auto"/>
          </w:tcPr>
          <w:p w:rsidR="0034476B" w:rsidRDefault="00A205B1">
            <w:pPr>
              <w:jc w:val="center"/>
              <w:rPr>
                <w:b/>
              </w:rPr>
            </w:pPr>
            <w:r>
              <w:rPr>
                <w:b/>
              </w:rPr>
              <w:t>CMCT</w:t>
            </w:r>
          </w:p>
        </w:tc>
        <w:tc>
          <w:tcPr>
            <w:tcW w:w="1200" w:type="dxa"/>
            <w:shd w:val="clear" w:color="auto" w:fill="auto"/>
          </w:tcPr>
          <w:p w:rsidR="0034476B" w:rsidRDefault="00A205B1">
            <w:pPr>
              <w:jc w:val="center"/>
              <w:rPr>
                <w:b/>
              </w:rPr>
            </w:pPr>
            <w:r>
              <w:rPr>
                <w:b/>
              </w:rPr>
              <w:t>CD</w:t>
            </w:r>
          </w:p>
        </w:tc>
        <w:tc>
          <w:tcPr>
            <w:tcW w:w="1250" w:type="dxa"/>
            <w:gridSpan w:val="3"/>
            <w:shd w:val="clear" w:color="auto" w:fill="auto"/>
          </w:tcPr>
          <w:p w:rsidR="0034476B" w:rsidRDefault="00A205B1">
            <w:pPr>
              <w:jc w:val="center"/>
              <w:rPr>
                <w:b/>
              </w:rPr>
            </w:pPr>
            <w:r>
              <w:rPr>
                <w:b/>
              </w:rPr>
              <w:t>CAA</w:t>
            </w:r>
          </w:p>
        </w:tc>
        <w:tc>
          <w:tcPr>
            <w:tcW w:w="1250" w:type="dxa"/>
            <w:gridSpan w:val="3"/>
            <w:shd w:val="clear" w:color="auto" w:fill="auto"/>
          </w:tcPr>
          <w:p w:rsidR="0034476B" w:rsidRDefault="00A205B1">
            <w:pPr>
              <w:jc w:val="center"/>
              <w:rPr>
                <w:b/>
              </w:rPr>
            </w:pPr>
            <w:r>
              <w:rPr>
                <w:b/>
              </w:rPr>
              <w:t>CSC</w:t>
            </w:r>
          </w:p>
        </w:tc>
        <w:tc>
          <w:tcPr>
            <w:tcW w:w="1350" w:type="dxa"/>
            <w:shd w:val="clear" w:color="auto" w:fill="auto"/>
          </w:tcPr>
          <w:p w:rsidR="0034476B" w:rsidRDefault="00A205B1">
            <w:pPr>
              <w:jc w:val="center"/>
              <w:rPr>
                <w:b/>
              </w:rPr>
            </w:pPr>
            <w:r>
              <w:rPr>
                <w:b/>
              </w:rPr>
              <w:t>SIE</w:t>
            </w:r>
          </w:p>
        </w:tc>
        <w:tc>
          <w:tcPr>
            <w:tcW w:w="1063" w:type="dxa"/>
            <w:shd w:val="clear" w:color="auto" w:fill="auto"/>
          </w:tcPr>
          <w:p w:rsidR="0034476B" w:rsidRDefault="00A205B1">
            <w:pPr>
              <w:jc w:val="center"/>
              <w:rPr>
                <w:b/>
              </w:rPr>
            </w:pPr>
            <w:r>
              <w:rPr>
                <w:b/>
              </w:rPr>
              <w:t>CEC</w:t>
            </w:r>
          </w:p>
        </w:tc>
      </w:tr>
      <w:tr w:rsidR="0034476B">
        <w:tc>
          <w:tcPr>
            <w:tcW w:w="1300" w:type="dxa"/>
            <w:shd w:val="clear" w:color="auto" w:fill="auto"/>
          </w:tcPr>
          <w:p w:rsidR="0034476B" w:rsidRDefault="00146A5D">
            <w:r>
              <w:t>x</w:t>
            </w:r>
          </w:p>
          <w:p w:rsidR="0034476B" w:rsidRDefault="0034476B"/>
        </w:tc>
        <w:tc>
          <w:tcPr>
            <w:tcW w:w="1300" w:type="dxa"/>
            <w:shd w:val="clear" w:color="auto" w:fill="auto"/>
          </w:tcPr>
          <w:p w:rsidR="0034476B" w:rsidRDefault="00146A5D">
            <w:r>
              <w:t>x</w:t>
            </w:r>
          </w:p>
        </w:tc>
        <w:tc>
          <w:tcPr>
            <w:tcW w:w="1200" w:type="dxa"/>
            <w:shd w:val="clear" w:color="auto" w:fill="auto"/>
          </w:tcPr>
          <w:p w:rsidR="0034476B" w:rsidRDefault="0034476B"/>
        </w:tc>
        <w:tc>
          <w:tcPr>
            <w:tcW w:w="1250" w:type="dxa"/>
            <w:gridSpan w:val="3"/>
            <w:shd w:val="clear" w:color="auto" w:fill="auto"/>
          </w:tcPr>
          <w:p w:rsidR="0034476B" w:rsidRDefault="0034476B"/>
        </w:tc>
        <w:tc>
          <w:tcPr>
            <w:tcW w:w="1250" w:type="dxa"/>
            <w:gridSpan w:val="3"/>
            <w:shd w:val="clear" w:color="auto" w:fill="auto"/>
          </w:tcPr>
          <w:p w:rsidR="0034476B" w:rsidRDefault="00146A5D">
            <w:r>
              <w:t>x</w:t>
            </w:r>
          </w:p>
        </w:tc>
        <w:tc>
          <w:tcPr>
            <w:tcW w:w="1350" w:type="dxa"/>
            <w:shd w:val="clear" w:color="auto" w:fill="auto"/>
          </w:tcPr>
          <w:p w:rsidR="0034476B" w:rsidRDefault="0034476B"/>
        </w:tc>
        <w:tc>
          <w:tcPr>
            <w:tcW w:w="1063" w:type="dxa"/>
            <w:shd w:val="clear" w:color="auto" w:fill="auto"/>
          </w:tcPr>
          <w:p w:rsidR="0034476B" w:rsidRDefault="00146A5D">
            <w:r>
              <w:t>x</w:t>
            </w:r>
          </w:p>
        </w:tc>
      </w:tr>
      <w:tr w:rsidR="0034476B">
        <w:trPr>
          <w:trHeight w:val="170"/>
        </w:trPr>
        <w:tc>
          <w:tcPr>
            <w:tcW w:w="4605" w:type="dxa"/>
            <w:gridSpan w:val="5"/>
            <w:shd w:val="clear" w:color="auto" w:fill="auto"/>
          </w:tcPr>
          <w:p w:rsidR="0034476B" w:rsidRDefault="00A205B1">
            <w:pPr>
              <w:rPr>
                <w:b/>
              </w:rPr>
            </w:pPr>
            <w:r>
              <w:rPr>
                <w:b/>
              </w:rPr>
              <w:t>Criterios evaluación</w:t>
            </w:r>
          </w:p>
        </w:tc>
        <w:tc>
          <w:tcPr>
            <w:tcW w:w="4108" w:type="dxa"/>
            <w:gridSpan w:val="6"/>
            <w:shd w:val="clear" w:color="auto" w:fill="auto"/>
          </w:tcPr>
          <w:p w:rsidR="0034476B" w:rsidRDefault="00A205B1">
            <w:pPr>
              <w:rPr>
                <w:b/>
              </w:rPr>
            </w:pPr>
            <w:r>
              <w:rPr>
                <w:b/>
              </w:rPr>
              <w:t>Estándares</w:t>
            </w:r>
          </w:p>
        </w:tc>
      </w:tr>
      <w:tr w:rsidR="0034476B">
        <w:trPr>
          <w:trHeight w:val="170"/>
        </w:trPr>
        <w:tc>
          <w:tcPr>
            <w:tcW w:w="4605" w:type="dxa"/>
            <w:gridSpan w:val="5"/>
            <w:shd w:val="clear" w:color="auto" w:fill="auto"/>
          </w:tcPr>
          <w:p w:rsidR="0034476B" w:rsidRDefault="0034476B">
            <w:pPr>
              <w:rPr>
                <w:b/>
              </w:rPr>
            </w:pPr>
          </w:p>
          <w:p w:rsidR="0034476B" w:rsidRPr="00146A5D" w:rsidRDefault="00146A5D" w:rsidP="00146A5D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Cambria" w:eastAsia="MS Mincho" w:hAnsi="Cambria" w:cs="Cambria"/>
              </w:rPr>
              <w:t>Elaborar una dieta completa y equilibrada o introducir distintos cambios en la dieta habitual para lograr dicho objetivo</w:t>
            </w:r>
            <w:r>
              <w:t>.</w:t>
            </w:r>
          </w:p>
          <w:p w:rsidR="00146A5D" w:rsidRPr="00146A5D" w:rsidRDefault="00146A5D" w:rsidP="00146A5D">
            <w:pPr>
              <w:pStyle w:val="Prrafodelista"/>
              <w:rPr>
                <w:b/>
              </w:rPr>
            </w:pPr>
          </w:p>
          <w:p w:rsidR="00146A5D" w:rsidRPr="00146A5D" w:rsidRDefault="00146A5D" w:rsidP="00146A5D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Cambria" w:eastAsia="MS Mincho" w:hAnsi="Cambria" w:cs="Cambria"/>
              </w:rPr>
              <w:t>Describir hábitos alimentarios saludables para prevenir enfermedades como la obesidad, la diabetes y enfermedades cardiovasculares</w:t>
            </w:r>
          </w:p>
          <w:p w:rsidR="0034476B" w:rsidRDefault="0034476B">
            <w:pPr>
              <w:rPr>
                <w:b/>
              </w:rPr>
            </w:pPr>
          </w:p>
          <w:p w:rsidR="0034476B" w:rsidRDefault="0034476B">
            <w:pPr>
              <w:rPr>
                <w:b/>
              </w:rPr>
            </w:pPr>
          </w:p>
          <w:p w:rsidR="0034476B" w:rsidRDefault="0034476B">
            <w:pPr>
              <w:rPr>
                <w:b/>
              </w:rPr>
            </w:pPr>
          </w:p>
        </w:tc>
        <w:tc>
          <w:tcPr>
            <w:tcW w:w="4108" w:type="dxa"/>
            <w:gridSpan w:val="6"/>
            <w:shd w:val="clear" w:color="auto" w:fill="auto"/>
          </w:tcPr>
          <w:p w:rsidR="00146A5D" w:rsidRPr="00146A5D" w:rsidRDefault="00146A5D" w:rsidP="00146A5D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t xml:space="preserve">Identifica los términos más frecuentes del vocabulario científico, expresándose de forma correcta tanto oralmente como por escrito. </w:t>
            </w:r>
          </w:p>
          <w:p w:rsidR="00146A5D" w:rsidRPr="00146A5D" w:rsidRDefault="00146A5D" w:rsidP="00146A5D">
            <w:pPr>
              <w:pStyle w:val="Prrafodelista"/>
              <w:rPr>
                <w:b/>
              </w:rPr>
            </w:pPr>
          </w:p>
          <w:p w:rsidR="00146A5D" w:rsidRPr="00146A5D" w:rsidRDefault="00146A5D" w:rsidP="00146A5D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t xml:space="preserve"> Busca, selecciona e interpreta la información de carácter científico a partir de la utilización de diversas fuentes.</w:t>
            </w:r>
          </w:p>
          <w:p w:rsidR="00146A5D" w:rsidRDefault="00146A5D" w:rsidP="00146A5D">
            <w:pPr>
              <w:pStyle w:val="Prrafodelista"/>
            </w:pPr>
          </w:p>
          <w:p w:rsidR="0034476B" w:rsidRPr="00146A5D" w:rsidRDefault="00146A5D" w:rsidP="00146A5D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t>Transmite la información seleccionada de manera precisa utilizando diversos soportes.</w:t>
            </w:r>
          </w:p>
          <w:p w:rsidR="00146A5D" w:rsidRPr="00146A5D" w:rsidRDefault="00146A5D" w:rsidP="00146A5D">
            <w:pPr>
              <w:pStyle w:val="Prrafodelista"/>
              <w:rPr>
                <w:b/>
              </w:rPr>
            </w:pPr>
          </w:p>
          <w:p w:rsidR="00146A5D" w:rsidRPr="00146A5D" w:rsidRDefault="00146A5D" w:rsidP="00146A5D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t>Argumenta las implicaciones que tienen los hábitos para la salud, y justifica con ejemplos las elecciones que realiza o puede realizar para promoverla individual y colectivamente.</w:t>
            </w:r>
          </w:p>
        </w:tc>
      </w:tr>
      <w:tr w:rsidR="0034476B">
        <w:trPr>
          <w:trHeight w:val="344"/>
        </w:trPr>
        <w:tc>
          <w:tcPr>
            <w:tcW w:w="8713" w:type="dxa"/>
            <w:gridSpan w:val="11"/>
            <w:shd w:val="clear" w:color="auto" w:fill="auto"/>
          </w:tcPr>
          <w:p w:rsidR="0034476B" w:rsidRDefault="00A205B1">
            <w:r>
              <w:rPr>
                <w:b/>
              </w:rPr>
              <w:t xml:space="preserve">Contenidos </w:t>
            </w:r>
            <w:r>
              <w:t xml:space="preserve">(creación de textos escritos, producción oral, uso de multimedia,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</w:tr>
      <w:tr w:rsidR="0034476B">
        <w:trPr>
          <w:trHeight w:val="343"/>
        </w:trPr>
        <w:tc>
          <w:tcPr>
            <w:tcW w:w="8713" w:type="dxa"/>
            <w:gridSpan w:val="11"/>
            <w:shd w:val="clear" w:color="auto" w:fill="auto"/>
          </w:tcPr>
          <w:p w:rsidR="0034476B" w:rsidRDefault="00A205B1">
            <w:pPr>
              <w:rPr>
                <w:b/>
              </w:rPr>
            </w:pPr>
            <w:r>
              <w:rPr>
                <w:rFonts w:ascii="Cambria" w:eastAsia="MS Mincho" w:hAnsi="Cambria" w:cs="Cambria"/>
              </w:rPr>
              <w:lastRenderedPageBreak/>
              <w:t>Dieta equilibrada y hábitos saludables en la nutrición.</w:t>
            </w:r>
          </w:p>
          <w:p w:rsidR="0034476B" w:rsidRDefault="0034476B">
            <w:pPr>
              <w:rPr>
                <w:b/>
              </w:rPr>
            </w:pPr>
          </w:p>
        </w:tc>
      </w:tr>
      <w:tr w:rsidR="0034476B">
        <w:trPr>
          <w:trHeight w:val="432"/>
        </w:trPr>
        <w:tc>
          <w:tcPr>
            <w:tcW w:w="8713" w:type="dxa"/>
            <w:gridSpan w:val="11"/>
            <w:shd w:val="clear" w:color="auto" w:fill="auto"/>
          </w:tcPr>
          <w:p w:rsidR="0034476B" w:rsidRDefault="00A205B1">
            <w:pPr>
              <w:rPr>
                <w:b/>
              </w:rPr>
            </w:pPr>
            <w:r>
              <w:rPr>
                <w:b/>
              </w:rPr>
              <w:t>Objetivos</w:t>
            </w:r>
          </w:p>
        </w:tc>
      </w:tr>
      <w:tr w:rsidR="0034476B">
        <w:trPr>
          <w:trHeight w:val="432"/>
        </w:trPr>
        <w:tc>
          <w:tcPr>
            <w:tcW w:w="8713" w:type="dxa"/>
            <w:gridSpan w:val="11"/>
            <w:shd w:val="clear" w:color="auto" w:fill="auto"/>
          </w:tcPr>
          <w:p w:rsidR="00A205B1" w:rsidRDefault="00A205B1" w:rsidP="00A205B1">
            <w:pPr>
              <w:pStyle w:val="Prrafodelista"/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spacing w:after="120"/>
              <w:jc w:val="both"/>
              <w:rPr>
                <w:rFonts w:ascii="Cambria" w:eastAsia="MS Mincho" w:hAnsi="Cambria" w:cs="Cambria"/>
              </w:rPr>
            </w:pPr>
            <w:r>
              <w:rPr>
                <w:rFonts w:ascii="Cambria" w:eastAsia="MS Mincho" w:hAnsi="Cambria" w:cs="Cambria"/>
              </w:rPr>
              <w:t>Comprender la necesidad de una dieta equilibrada y los perjuicios de una alimentación poco variada.</w:t>
            </w:r>
          </w:p>
          <w:p w:rsidR="0034476B" w:rsidRDefault="00A205B1" w:rsidP="00A205B1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after="120"/>
              <w:jc w:val="both"/>
              <w:rPr>
                <w:b/>
              </w:rPr>
            </w:pPr>
            <w:r>
              <w:rPr>
                <w:rFonts w:ascii="Cambria" w:eastAsia="MS Mincho" w:hAnsi="Cambria" w:cs="Cambria"/>
              </w:rPr>
              <w:t>Conocer algunos hábitos saludables en relación con la nutrición y la dieta.</w:t>
            </w:r>
          </w:p>
        </w:tc>
      </w:tr>
      <w:tr w:rsidR="0034476B">
        <w:tc>
          <w:tcPr>
            <w:tcW w:w="8713" w:type="dxa"/>
            <w:gridSpan w:val="11"/>
            <w:shd w:val="clear" w:color="auto" w:fill="auto"/>
          </w:tcPr>
          <w:p w:rsidR="0034476B" w:rsidRDefault="00A205B1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3. TRANSPOSICIÓN DIDÁCTICA</w:t>
            </w:r>
          </w:p>
        </w:tc>
      </w:tr>
      <w:tr w:rsidR="0034476B">
        <w:tc>
          <w:tcPr>
            <w:tcW w:w="2600" w:type="dxa"/>
            <w:gridSpan w:val="2"/>
            <w:shd w:val="clear" w:color="auto" w:fill="auto"/>
          </w:tcPr>
          <w:p w:rsidR="0034476B" w:rsidRDefault="00A205B1">
            <w:pPr>
              <w:rPr>
                <w:b/>
              </w:rPr>
            </w:pPr>
            <w:r>
              <w:rPr>
                <w:b/>
              </w:rPr>
              <w:t>Tareas y actividades</w:t>
            </w:r>
          </w:p>
        </w:tc>
        <w:tc>
          <w:tcPr>
            <w:tcW w:w="2733" w:type="dxa"/>
            <w:gridSpan w:val="5"/>
            <w:shd w:val="clear" w:color="auto" w:fill="auto"/>
          </w:tcPr>
          <w:p w:rsidR="0034476B" w:rsidRDefault="00A205B1">
            <w:pPr>
              <w:rPr>
                <w:b/>
              </w:rPr>
            </w:pPr>
            <w:r>
              <w:rPr>
                <w:b/>
              </w:rPr>
              <w:t>Metodología</w:t>
            </w:r>
          </w:p>
        </w:tc>
        <w:tc>
          <w:tcPr>
            <w:tcW w:w="3380" w:type="dxa"/>
            <w:gridSpan w:val="4"/>
            <w:shd w:val="clear" w:color="auto" w:fill="auto"/>
          </w:tcPr>
          <w:p w:rsidR="0034476B" w:rsidRDefault="00A205B1">
            <w:pPr>
              <w:rPr>
                <w:b/>
              </w:rPr>
            </w:pPr>
            <w:r>
              <w:rPr>
                <w:b/>
              </w:rPr>
              <w:t>Escenario/contexto</w:t>
            </w:r>
          </w:p>
        </w:tc>
      </w:tr>
      <w:tr w:rsidR="0034476B">
        <w:tc>
          <w:tcPr>
            <w:tcW w:w="2600" w:type="dxa"/>
            <w:gridSpan w:val="2"/>
            <w:shd w:val="clear" w:color="auto" w:fill="auto"/>
          </w:tcPr>
          <w:p w:rsidR="0034476B" w:rsidRDefault="0034476B"/>
          <w:p w:rsidR="0034476B" w:rsidRDefault="00A205B1">
            <w:r>
              <w:t>Comprensión de textos, resolución de cuestiones y reflexión individual.</w:t>
            </w:r>
          </w:p>
          <w:p w:rsidR="0034476B" w:rsidRDefault="0034476B"/>
        </w:tc>
        <w:tc>
          <w:tcPr>
            <w:tcW w:w="2733" w:type="dxa"/>
            <w:gridSpan w:val="5"/>
            <w:shd w:val="clear" w:color="auto" w:fill="auto"/>
          </w:tcPr>
          <w:p w:rsidR="0034476B" w:rsidRDefault="0034476B"/>
          <w:p w:rsidR="0034476B" w:rsidRDefault="00A205B1">
            <w:r>
              <w:t>Trabajo cooperativo</w:t>
            </w:r>
          </w:p>
        </w:tc>
        <w:tc>
          <w:tcPr>
            <w:tcW w:w="3380" w:type="dxa"/>
            <w:gridSpan w:val="4"/>
            <w:shd w:val="clear" w:color="auto" w:fill="auto"/>
          </w:tcPr>
          <w:p w:rsidR="0034476B" w:rsidRDefault="0034476B"/>
          <w:p w:rsidR="0034476B" w:rsidRDefault="00A205B1">
            <w:r>
              <w:t>Aula</w:t>
            </w:r>
          </w:p>
          <w:p w:rsidR="0034476B" w:rsidRDefault="0034476B"/>
        </w:tc>
      </w:tr>
      <w:tr w:rsidR="0034476B">
        <w:tc>
          <w:tcPr>
            <w:tcW w:w="8713" w:type="dxa"/>
            <w:gridSpan w:val="11"/>
            <w:shd w:val="clear" w:color="auto" w:fill="auto"/>
          </w:tcPr>
          <w:p w:rsidR="0034476B" w:rsidRDefault="0034476B">
            <w:pPr>
              <w:rPr>
                <w:b/>
              </w:rPr>
            </w:pPr>
          </w:p>
        </w:tc>
      </w:tr>
      <w:tr w:rsidR="0034476B">
        <w:tc>
          <w:tcPr>
            <w:tcW w:w="5333" w:type="dxa"/>
            <w:gridSpan w:val="7"/>
            <w:shd w:val="clear" w:color="auto" w:fill="auto"/>
          </w:tcPr>
          <w:p w:rsidR="0034476B" w:rsidRDefault="00A205B1">
            <w:pPr>
              <w:rPr>
                <w:b/>
              </w:rPr>
            </w:pPr>
            <w:r>
              <w:rPr>
                <w:b/>
              </w:rPr>
              <w:t>Indicadores (rúbricas)</w:t>
            </w:r>
          </w:p>
        </w:tc>
        <w:tc>
          <w:tcPr>
            <w:tcW w:w="3380" w:type="dxa"/>
            <w:gridSpan w:val="4"/>
            <w:shd w:val="clear" w:color="auto" w:fill="auto"/>
          </w:tcPr>
          <w:p w:rsidR="0034476B" w:rsidRDefault="00A205B1">
            <w:pPr>
              <w:rPr>
                <w:b/>
              </w:rPr>
            </w:pPr>
            <w:r>
              <w:rPr>
                <w:b/>
              </w:rPr>
              <w:t>Instrumentos /recursos</w:t>
            </w:r>
          </w:p>
        </w:tc>
      </w:tr>
      <w:tr w:rsidR="0034476B">
        <w:tc>
          <w:tcPr>
            <w:tcW w:w="5333" w:type="dxa"/>
            <w:gridSpan w:val="7"/>
            <w:shd w:val="clear" w:color="auto" w:fill="auto"/>
          </w:tcPr>
          <w:p w:rsidR="0034476B" w:rsidRDefault="0034476B"/>
          <w:p w:rsidR="0034476B" w:rsidRDefault="0034476B"/>
          <w:p w:rsidR="0034476B" w:rsidRDefault="0034476B"/>
        </w:tc>
        <w:tc>
          <w:tcPr>
            <w:tcW w:w="3380" w:type="dxa"/>
            <w:gridSpan w:val="4"/>
            <w:shd w:val="clear" w:color="auto" w:fill="auto"/>
          </w:tcPr>
          <w:p w:rsidR="0034476B" w:rsidRDefault="00A205B1">
            <w:r>
              <w:t>Observación, evaluación de contenidos y expresión oral.</w:t>
            </w:r>
          </w:p>
        </w:tc>
      </w:tr>
      <w:tr w:rsidR="0034476B">
        <w:trPr>
          <w:trHeight w:val="155"/>
        </w:trPr>
        <w:tc>
          <w:tcPr>
            <w:tcW w:w="8713" w:type="dxa"/>
            <w:gridSpan w:val="11"/>
            <w:shd w:val="clear" w:color="auto" w:fill="auto"/>
          </w:tcPr>
          <w:p w:rsidR="0034476B" w:rsidRDefault="00A205B1">
            <w:pPr>
              <w:rPr>
                <w:b/>
              </w:rPr>
            </w:pPr>
            <w:r>
              <w:rPr>
                <w:b/>
              </w:rPr>
              <w:t xml:space="preserve">Valoración de lo </w:t>
            </w:r>
            <w:r>
              <w:rPr>
                <w:b/>
              </w:rPr>
              <w:t>aprendido</w:t>
            </w:r>
          </w:p>
        </w:tc>
      </w:tr>
      <w:tr w:rsidR="0034476B">
        <w:trPr>
          <w:trHeight w:val="155"/>
        </w:trPr>
        <w:tc>
          <w:tcPr>
            <w:tcW w:w="8713" w:type="dxa"/>
            <w:gridSpan w:val="11"/>
            <w:shd w:val="clear" w:color="auto" w:fill="auto"/>
          </w:tcPr>
          <w:p w:rsidR="0034476B" w:rsidRDefault="0034476B">
            <w:pPr>
              <w:rPr>
                <w:b/>
              </w:rPr>
            </w:pPr>
          </w:p>
        </w:tc>
      </w:tr>
    </w:tbl>
    <w:p w:rsidR="0034476B" w:rsidRDefault="0034476B">
      <w:pPr>
        <w:rPr>
          <w:rFonts w:cs="Times New Roman"/>
          <w:sz w:val="20"/>
          <w:szCs w:val="20"/>
        </w:rPr>
      </w:pPr>
    </w:p>
    <w:p w:rsidR="0034476B" w:rsidRDefault="00A205B1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*CCL (Competencia Comunicación Lingüística)</w:t>
      </w:r>
    </w:p>
    <w:p w:rsidR="0034476B" w:rsidRDefault="00A205B1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CMCT (Competencia matemática y competencias básicas en ciencia y tecnología)</w:t>
      </w:r>
    </w:p>
    <w:p w:rsidR="0034476B" w:rsidRDefault="00A205B1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CD (Competencia digital)</w:t>
      </w:r>
    </w:p>
    <w:p w:rsidR="0034476B" w:rsidRDefault="00A205B1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CAA (Competencia aprender a aprender)</w:t>
      </w:r>
    </w:p>
    <w:p w:rsidR="0034476B" w:rsidRDefault="00A205B1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CSC (Competencias sociales y cívicas)</w:t>
      </w:r>
    </w:p>
    <w:p w:rsidR="0034476B" w:rsidRDefault="00A205B1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SIE (Sentido de la </w:t>
      </w:r>
      <w:r>
        <w:rPr>
          <w:rFonts w:cs="Times New Roman"/>
          <w:b/>
          <w:sz w:val="20"/>
          <w:szCs w:val="20"/>
        </w:rPr>
        <w:t>iniciativa y espíritu emprendedor)</w:t>
      </w:r>
    </w:p>
    <w:p w:rsidR="0034476B" w:rsidRDefault="00A205B1">
      <w:r>
        <w:rPr>
          <w:rFonts w:cs="Times New Roman"/>
          <w:b/>
          <w:sz w:val="20"/>
          <w:szCs w:val="20"/>
        </w:rPr>
        <w:t>CEC (Conciencia y expresiones culturales)</w:t>
      </w:r>
    </w:p>
    <w:sectPr w:rsidR="0034476B" w:rsidSect="0034476B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single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/>
      </w:rPr>
    </w:lvl>
  </w:abstractNum>
  <w:abstractNum w:abstractNumId="1">
    <w:nsid w:val="2F07510F"/>
    <w:multiLevelType w:val="hybridMultilevel"/>
    <w:tmpl w:val="E9D42F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71652"/>
    <w:multiLevelType w:val="hybridMultilevel"/>
    <w:tmpl w:val="1FB260F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393598"/>
    <w:multiLevelType w:val="hybridMultilevel"/>
    <w:tmpl w:val="A5BE198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34476B"/>
    <w:rsid w:val="00146A5D"/>
    <w:rsid w:val="0034476B"/>
    <w:rsid w:val="00A205B1"/>
    <w:rsid w:val="00C0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7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rsid w:val="0034476B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rsid w:val="0034476B"/>
    <w:pPr>
      <w:spacing w:after="140" w:line="276" w:lineRule="auto"/>
    </w:pPr>
  </w:style>
  <w:style w:type="paragraph" w:styleId="Lista">
    <w:name w:val="List"/>
    <w:basedOn w:val="Textoindependiente"/>
    <w:rsid w:val="0034476B"/>
    <w:rPr>
      <w:rFonts w:cs="Lohit Devanagari"/>
    </w:rPr>
  </w:style>
  <w:style w:type="paragraph" w:customStyle="1" w:styleId="Caption">
    <w:name w:val="Caption"/>
    <w:basedOn w:val="Normal"/>
    <w:qFormat/>
    <w:rsid w:val="0034476B"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rsid w:val="0034476B"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6259B6"/>
    <w:pPr>
      <w:spacing w:beforeAutospacing="1" w:afterAutospacing="1"/>
    </w:pPr>
    <w:rPr>
      <w:rFonts w:ascii="Times New Roman" w:hAnsi="Times New Roman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615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46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Martinez Torres</dc:creator>
  <cp:lastModifiedBy>Isabel Chueca García</cp:lastModifiedBy>
  <cp:revision>2</cp:revision>
  <cp:lastPrinted>2018-10-17T15:56:00Z</cp:lastPrinted>
  <dcterms:created xsi:type="dcterms:W3CDTF">2021-05-30T19:33:00Z</dcterms:created>
  <dcterms:modified xsi:type="dcterms:W3CDTF">2021-05-30T19:33:00Z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