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E7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4D62D7">
        <w:rPr>
          <w:sz w:val="24"/>
          <w:szCs w:val="24"/>
        </w:rPr>
        <w:t xml:space="preserve"> EVA RODRÍGUEZ GARCÍA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4D62D7">
        <w:rPr>
          <w:sz w:val="24"/>
          <w:szCs w:val="24"/>
        </w:rPr>
        <w:t xml:space="preserve"> 2º CICLO DE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4D62D7">
        <w:rPr>
          <w:sz w:val="24"/>
          <w:szCs w:val="24"/>
        </w:rPr>
        <w:t xml:space="preserve"> INGLÉS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B23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4D62D7"/>
    <w:rsid w:val="00B23DE7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2021-04-15T19:13:00Z</dcterms:modified>
</cp:coreProperties>
</file>