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9D" w:rsidRDefault="00AB02AE" w:rsidP="00AB02AE">
      <w:pPr>
        <w:rPr>
          <w:rFonts w:ascii="Arial Narrow" w:hAnsi="Arial Narrow"/>
        </w:rPr>
      </w:pPr>
      <w:r w:rsidRPr="00AB02AE">
        <w:rPr>
          <w:rFonts w:ascii="Arial Narrow" w:hAnsi="Arial Narrow"/>
          <w:b/>
        </w:rPr>
        <w:t>NOMBRE DEL ALUMNO/A:</w:t>
      </w:r>
      <w:r>
        <w:rPr>
          <w:rFonts w:ascii="Arial Narrow" w:hAnsi="Arial Narrow"/>
        </w:rPr>
        <w:t xml:space="preserve"> ____________________________________________</w:t>
      </w:r>
      <w:r w:rsidR="00A325F7">
        <w:rPr>
          <w:rFonts w:ascii="Arial Narrow" w:hAnsi="Arial Narrow"/>
        </w:rPr>
        <w:t>_______________</w:t>
      </w:r>
      <w:r>
        <w:rPr>
          <w:rFonts w:ascii="Arial Narrow" w:hAnsi="Arial Narrow"/>
        </w:rPr>
        <w:tab/>
      </w:r>
      <w:r>
        <w:rPr>
          <w:rFonts w:ascii="Arial Narrow" w:hAnsi="Arial Narrow"/>
        </w:rPr>
        <w:tab/>
      </w:r>
      <w:r w:rsidRPr="00AB02AE">
        <w:rPr>
          <w:rFonts w:ascii="Arial Narrow" w:hAnsi="Arial Narrow"/>
          <w:b/>
        </w:rPr>
        <w:t>CURSO</w:t>
      </w:r>
      <w:proofErr w:type="gramStart"/>
      <w:r w:rsidRPr="00AB02AE">
        <w:rPr>
          <w:rFonts w:ascii="Arial Narrow" w:hAnsi="Arial Narrow"/>
          <w:b/>
        </w:rPr>
        <w:t>:</w:t>
      </w:r>
      <w:r w:rsidR="009B36C3">
        <w:rPr>
          <w:rFonts w:ascii="Arial Narrow" w:hAnsi="Arial Narrow"/>
        </w:rPr>
        <w:t>2</w:t>
      </w:r>
      <w:proofErr w:type="gramEnd"/>
      <w:r w:rsidR="00E7676B">
        <w:rPr>
          <w:rFonts w:ascii="Arial Narrow" w:hAnsi="Arial Narrow"/>
        </w:rPr>
        <w:t>º EP</w:t>
      </w:r>
      <w:r w:rsidR="00A325F7">
        <w:rPr>
          <w:rFonts w:ascii="Arial Narrow" w:hAnsi="Arial Narrow"/>
        </w:rPr>
        <w:tab/>
      </w:r>
      <w:r w:rsidR="00A325F7">
        <w:rPr>
          <w:rFonts w:ascii="Arial Narrow" w:hAnsi="Arial Narrow"/>
        </w:rPr>
        <w:tab/>
      </w:r>
      <w:r w:rsidR="00A325F7">
        <w:rPr>
          <w:rFonts w:ascii="Arial Narrow" w:hAnsi="Arial Narrow"/>
          <w:b/>
        </w:rPr>
        <w:t xml:space="preserve">ÁREA: </w:t>
      </w:r>
      <w:r w:rsidR="00EA37FE">
        <w:rPr>
          <w:rFonts w:ascii="Arial Narrow" w:hAnsi="Arial Narrow"/>
        </w:rPr>
        <w:t>Inglés</w:t>
      </w:r>
    </w:p>
    <w:tbl>
      <w:tblPr>
        <w:tblStyle w:val="Tablaconcuadrcula"/>
        <w:tblW w:w="15724" w:type="dxa"/>
        <w:tblInd w:w="-431" w:type="dxa"/>
        <w:tblLayout w:type="fixed"/>
        <w:tblLook w:val="04A0"/>
      </w:tblPr>
      <w:tblGrid>
        <w:gridCol w:w="536"/>
        <w:gridCol w:w="9529"/>
        <w:gridCol w:w="628"/>
        <w:gridCol w:w="629"/>
        <w:gridCol w:w="629"/>
        <w:gridCol w:w="629"/>
        <w:gridCol w:w="628"/>
        <w:gridCol w:w="629"/>
        <w:gridCol w:w="629"/>
        <w:gridCol w:w="629"/>
        <w:gridCol w:w="629"/>
      </w:tblGrid>
      <w:tr w:rsidR="003F474C" w:rsidTr="00EB0D9D">
        <w:tc>
          <w:tcPr>
            <w:tcW w:w="536" w:type="dxa"/>
            <w:shd w:val="clear" w:color="auto" w:fill="000000" w:themeFill="text1"/>
          </w:tcPr>
          <w:p w:rsidR="003F474C" w:rsidRPr="007A1D53" w:rsidRDefault="003F474C" w:rsidP="007A1D53">
            <w:pPr>
              <w:jc w:val="center"/>
              <w:rPr>
                <w:rFonts w:ascii="Arial Narrow" w:hAnsi="Arial Narrow"/>
                <w:b/>
                <w:color w:val="FFFFFF" w:themeColor="background1"/>
              </w:rPr>
            </w:pPr>
          </w:p>
        </w:tc>
        <w:tc>
          <w:tcPr>
            <w:tcW w:w="15188" w:type="dxa"/>
            <w:gridSpan w:val="10"/>
            <w:shd w:val="clear" w:color="auto" w:fill="000000" w:themeFill="text1"/>
            <w:vAlign w:val="center"/>
          </w:tcPr>
          <w:p w:rsidR="003F474C" w:rsidRPr="007A1D53" w:rsidRDefault="003F474C" w:rsidP="007A1D53">
            <w:pPr>
              <w:jc w:val="center"/>
              <w:rPr>
                <w:rFonts w:ascii="Arial Narrow" w:hAnsi="Arial Narrow"/>
                <w:b/>
                <w:color w:val="FFFFFF" w:themeColor="background1"/>
              </w:rPr>
            </w:pPr>
            <w:r w:rsidRPr="007A1D53">
              <w:rPr>
                <w:rFonts w:ascii="Arial Narrow" w:hAnsi="Arial Narrow"/>
                <w:b/>
                <w:color w:val="FFFFFF" w:themeColor="background1"/>
              </w:rPr>
              <w:t xml:space="preserve">RELACIÓN INDICADORES DE EVALUACIÓN &amp; UNIDADES DIDÁCTICAS </w:t>
            </w:r>
          </w:p>
        </w:tc>
      </w:tr>
      <w:tr w:rsidR="003F474C" w:rsidTr="00EB0D9D">
        <w:tc>
          <w:tcPr>
            <w:tcW w:w="10065" w:type="dxa"/>
            <w:gridSpan w:val="2"/>
            <w:vMerge w:val="restart"/>
            <w:shd w:val="clear" w:color="auto" w:fill="D9D9D9" w:themeFill="background1" w:themeFillShade="D9"/>
            <w:vAlign w:val="center"/>
          </w:tcPr>
          <w:p w:rsidR="003F474C" w:rsidRPr="00F16FE0" w:rsidRDefault="003F474C" w:rsidP="007A1D53">
            <w:pPr>
              <w:jc w:val="center"/>
              <w:rPr>
                <w:rFonts w:ascii="Arial Narrow" w:hAnsi="Arial Narrow"/>
                <w:b/>
              </w:rPr>
            </w:pPr>
            <w:r w:rsidRPr="00F16FE0">
              <w:rPr>
                <w:rFonts w:ascii="Arial Narrow" w:hAnsi="Arial Narrow"/>
                <w:b/>
              </w:rPr>
              <w:t xml:space="preserve">Relación de indicadores </w:t>
            </w:r>
          </w:p>
        </w:tc>
        <w:tc>
          <w:tcPr>
            <w:tcW w:w="5659" w:type="dxa"/>
            <w:gridSpan w:val="9"/>
            <w:shd w:val="clear" w:color="auto" w:fill="D9D9D9" w:themeFill="background1" w:themeFillShade="D9"/>
          </w:tcPr>
          <w:p w:rsidR="003F474C" w:rsidRPr="00F16FE0" w:rsidRDefault="003F474C" w:rsidP="007A1D53">
            <w:pPr>
              <w:jc w:val="center"/>
              <w:rPr>
                <w:rFonts w:ascii="Arial Narrow" w:hAnsi="Arial Narrow"/>
                <w:b/>
              </w:rPr>
            </w:pPr>
            <w:r w:rsidRPr="00F16FE0">
              <w:rPr>
                <w:rFonts w:ascii="Arial Narrow" w:hAnsi="Arial Narrow"/>
                <w:b/>
              </w:rPr>
              <w:t xml:space="preserve">Trabajado dentro de la </w:t>
            </w:r>
            <w:proofErr w:type="spellStart"/>
            <w:r w:rsidRPr="00F16FE0">
              <w:rPr>
                <w:rFonts w:ascii="Arial Narrow" w:hAnsi="Arial Narrow"/>
                <w:b/>
              </w:rPr>
              <w:t>u.d</w:t>
            </w:r>
            <w:proofErr w:type="spellEnd"/>
          </w:p>
        </w:tc>
      </w:tr>
      <w:tr w:rsidR="00EB0D9D" w:rsidTr="00EB0D9D">
        <w:tc>
          <w:tcPr>
            <w:tcW w:w="10065" w:type="dxa"/>
            <w:gridSpan w:val="2"/>
            <w:vMerge/>
            <w:shd w:val="clear" w:color="auto" w:fill="D9D9D9" w:themeFill="background1" w:themeFillShade="D9"/>
            <w:vAlign w:val="center"/>
          </w:tcPr>
          <w:p w:rsidR="00AD6C84" w:rsidRDefault="00AD6C84" w:rsidP="007A1D53">
            <w:pPr>
              <w:jc w:val="center"/>
              <w:rPr>
                <w:rFonts w:ascii="Arial Narrow" w:hAnsi="Arial Narrow"/>
              </w:rPr>
            </w:pPr>
          </w:p>
        </w:tc>
        <w:tc>
          <w:tcPr>
            <w:tcW w:w="628"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1</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2</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3</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4</w:t>
            </w:r>
          </w:p>
        </w:tc>
        <w:tc>
          <w:tcPr>
            <w:tcW w:w="628"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5</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6</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CD6847">
              <w:rPr>
                <w:rFonts w:ascii="Arial Narrow" w:hAnsi="Arial Narrow"/>
                <w:b/>
              </w:rPr>
              <w:t>7</w:t>
            </w:r>
          </w:p>
        </w:tc>
        <w:tc>
          <w:tcPr>
            <w:tcW w:w="629" w:type="dxa"/>
            <w:shd w:val="clear" w:color="auto" w:fill="FFE599" w:themeFill="accent4" w:themeFillTint="66"/>
            <w:vAlign w:val="center"/>
          </w:tcPr>
          <w:p w:rsidR="00AD6C84" w:rsidRPr="00CD6847" w:rsidRDefault="00AD6C84" w:rsidP="00AD6C84">
            <w:pPr>
              <w:jc w:val="center"/>
              <w:rPr>
                <w:rFonts w:ascii="Arial Narrow" w:hAnsi="Arial Narrow"/>
                <w:b/>
              </w:rPr>
            </w:pPr>
            <w:r w:rsidRPr="00CD6847">
              <w:rPr>
                <w:rFonts w:ascii="Arial Narrow" w:hAnsi="Arial Narrow"/>
                <w:b/>
              </w:rPr>
              <w:t>8</w:t>
            </w:r>
          </w:p>
        </w:tc>
        <w:tc>
          <w:tcPr>
            <w:tcW w:w="629" w:type="dxa"/>
            <w:shd w:val="clear" w:color="auto" w:fill="FFE599" w:themeFill="accent4" w:themeFillTint="66"/>
            <w:vAlign w:val="center"/>
          </w:tcPr>
          <w:p w:rsidR="00AD6C84" w:rsidRPr="00CD6847" w:rsidRDefault="00AD6C84" w:rsidP="00A325F7">
            <w:pPr>
              <w:jc w:val="center"/>
              <w:rPr>
                <w:rFonts w:ascii="Arial Narrow" w:hAnsi="Arial Narrow"/>
                <w:b/>
              </w:rPr>
            </w:pPr>
            <w:r w:rsidRPr="003F474C">
              <w:rPr>
                <w:rFonts w:ascii="Arial Narrow" w:hAnsi="Arial Narrow"/>
                <w:b/>
                <w:sz w:val="14"/>
              </w:rPr>
              <w:t xml:space="preserve">Nota media </w:t>
            </w: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(CSYC, CCL, CAA)</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2.1.- Conoce algunas estrategias para comprender y relacionar el contenido básico de mensajes que contengan indicaciones o información en el contexto de aula, tales como gestos, repeticiones, etc. (CCL, CAA, CSYC)</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3.1.- Reconoce aspectos cotidianos de su entorno inmediato en una conversación habitual que tiene lugar en su presencia tales como instrucciones de clase, preguntas básicas, saludos, normas de cortesía, etc. (CAA, CSYC,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4.1.- Entiende las ideas y reconocer las estructuras básicas de presentaciones cercanas a temas de su interés, iniciándose en una conversación sencilla y clara, apoyándose en imágenes e ilustraciones sobre su familia, su casa, su escuela, sus amigos/as, etc. (CCL, CAA)</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5.1.- Reconoce la idea principal de mensajes oídos sobre temas cotidianos. Recuerda e identifica los patrones sonoros y rítmicos básicos en la entonación, apoyándose en materiales audiovisuales diversos. (CAA,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6.1.- Participa en conversaciones breves y en pequeños diálogos con los compañeros/as. (CAA, CCL)</w:t>
            </w: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6.2.- Identifica y usa algunas expresiones sencillas sobre temas familiares y necesidades inmediatas, adquiriendo un vocabulario frecuente para expresar información personal de asuntos cotidianos, así como patrones básicos para hablar de sí mismo, su familia, etc. (CAA,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7.1.- Sabe presentarse a sí mismo y a sus compañeros/as de forma breve y muy sencilla, empleando un vocabulario elemental, ensayando la presentación previamente y apoyándose en gestos. (CAA,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 xml:space="preserve">ING 8.1.- Conoce y recuerda un vocabulario limitado y habitual para comunicarse en situaciones de la vida cotidiana donde tengan que intervenir brevemente, </w:t>
            </w:r>
            <w:proofErr w:type="spellStart"/>
            <w:r w:rsidRPr="00986407">
              <w:rPr>
                <w:rFonts w:ascii="Arial Narrow" w:hAnsi="Arial Narrow" w:cs="Arial"/>
                <w:sz w:val="16"/>
                <w:szCs w:val="18"/>
              </w:rPr>
              <w:t>p.e.</w:t>
            </w:r>
            <w:proofErr w:type="spellEnd"/>
            <w:r w:rsidRPr="00986407">
              <w:rPr>
                <w:rFonts w:ascii="Arial Narrow" w:hAnsi="Arial Narrow" w:cs="Arial"/>
                <w:sz w:val="16"/>
                <w:szCs w:val="18"/>
              </w:rPr>
              <w:t xml:space="preserve"> para saludar, despedirse, presentarse, etc. (CCL, CSYC)</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8.2.- Reproduce palabras y pequeñas frases de uso cotidiano, relacionadas con sus intereses y necesidades, con</w:t>
            </w:r>
            <w:bookmarkStart w:id="0" w:name="_GoBack"/>
            <w:bookmarkEnd w:id="0"/>
            <w:r w:rsidRPr="00986407">
              <w:rPr>
                <w:rFonts w:ascii="Arial Narrow" w:hAnsi="Arial Narrow" w:cs="Arial"/>
                <w:sz w:val="16"/>
                <w:szCs w:val="18"/>
              </w:rPr>
              <w:t xml:space="preserve"> un repertorio muy limitado de patrones sonoros, rítmicos y de entonación básicos.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8.3.- Participa en pequeños diálogos breves y sencillos utilizando técnicas no verbales (gestos, expresiones, contacto visual...). (CCL)</w:t>
            </w: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 xml:space="preserve">ING 9.1.- Localiza, reconoce e identifica mensajes en diferentes soportes como la </w:t>
            </w:r>
            <w:proofErr w:type="spellStart"/>
            <w:r w:rsidRPr="00986407">
              <w:rPr>
                <w:rFonts w:ascii="Arial Narrow" w:hAnsi="Arial Narrow" w:cs="Arial"/>
                <w:sz w:val="16"/>
                <w:szCs w:val="18"/>
              </w:rPr>
              <w:t>cartelería</w:t>
            </w:r>
            <w:proofErr w:type="spellEnd"/>
            <w:r w:rsidRPr="00986407">
              <w:rPr>
                <w:rFonts w:ascii="Arial Narrow" w:hAnsi="Arial Narrow" w:cs="Arial"/>
                <w:sz w:val="16"/>
                <w:szCs w:val="18"/>
              </w:rPr>
              <w:t xml:space="preserve"> del centro escolar referida a las dependencias y materiales utilizando un vocabulario y apoyo visual básico conocido y habitual. (CCL)</w:t>
            </w: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10.1.- Reconoce las estrategias básicas y adecuadas que faciliten la comprensión del sentido global de un mensaje escrito sencillo sobre temas muy cercanos a la vida cotidiana y escolar tales como el menú del cole, los horarios, etc. (CAA, CCL)</w:t>
            </w: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11.1.- Reconoce y diferencia el estilo y la intencionalidad de textos diversos, cartas, folletos, felicitaciones y encuestas por el contexto social en que se usan y por el contenido. (CCL)</w:t>
            </w: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D021EA">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12.1.- Comprende el significado de textos y reconoce un repertorio limitado de léxico así como una ortografía básica en textos adaptados a su edad sobre situaciones cotidianas y temas habituales.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14.1.- Se inicia en la utilización de alguna estrategia básica para producir textos escritos muy breves y sencillos.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15.1.- Reconoce los elementos socioculturales y sociolingüísticos básicos en textos muy breves y sencillos, reproduce estructuras sintácticas básicas y utiliza un vocabulario de uso habitual según el contexto. (CCL, CEC)</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9B36C3" w:rsidTr="004D75DB">
        <w:tc>
          <w:tcPr>
            <w:tcW w:w="10065" w:type="dxa"/>
            <w:gridSpan w:val="2"/>
            <w:vAlign w:val="center"/>
          </w:tcPr>
          <w:p w:rsidR="009B36C3" w:rsidRPr="00986407" w:rsidRDefault="009B36C3" w:rsidP="00D021EA">
            <w:pPr>
              <w:autoSpaceDE w:val="0"/>
              <w:autoSpaceDN w:val="0"/>
              <w:adjustRightInd w:val="0"/>
              <w:jc w:val="center"/>
              <w:rPr>
                <w:rFonts w:ascii="Arial Narrow" w:hAnsi="Arial Narrow" w:cs="Arial"/>
                <w:sz w:val="16"/>
                <w:szCs w:val="18"/>
              </w:rPr>
            </w:pPr>
            <w:r w:rsidRPr="00986407">
              <w:rPr>
                <w:rFonts w:ascii="Arial Narrow" w:hAnsi="Arial Narrow" w:cs="Arial"/>
                <w:sz w:val="16"/>
                <w:szCs w:val="18"/>
              </w:rPr>
              <w:t>ING 16.1.- Escribe mensajes breves sobre temas habituales ajustándose a la función comunicativa adecuada según el tipo de texto, practica patrones gráficos básicos para empezar a escribir palabras comunes de uso habitual. (CCL)</w:t>
            </w:r>
          </w:p>
        </w:tc>
        <w:tc>
          <w:tcPr>
            <w:tcW w:w="628"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8"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595959" w:themeFill="text1" w:themeFillTint="A6"/>
            <w:vAlign w:val="center"/>
          </w:tcPr>
          <w:p w:rsidR="009B36C3" w:rsidRDefault="009B36C3" w:rsidP="009B36C3">
            <w:pPr>
              <w:jc w:val="center"/>
              <w:rPr>
                <w:rFonts w:ascii="Arial Narrow" w:hAnsi="Arial Narrow"/>
              </w:rPr>
            </w:pPr>
          </w:p>
        </w:tc>
        <w:tc>
          <w:tcPr>
            <w:tcW w:w="629" w:type="dxa"/>
            <w:shd w:val="clear" w:color="auto" w:fill="FFFFFF" w:themeFill="background1"/>
            <w:vAlign w:val="center"/>
          </w:tcPr>
          <w:p w:rsidR="009B36C3" w:rsidRDefault="009B36C3" w:rsidP="009B36C3">
            <w:pPr>
              <w:jc w:val="center"/>
              <w:rPr>
                <w:rFonts w:ascii="Arial Narrow" w:hAnsi="Arial Narrow"/>
              </w:rPr>
            </w:pPr>
          </w:p>
        </w:tc>
      </w:tr>
      <w:tr w:rsidR="001B2E5C" w:rsidTr="001B2E5C">
        <w:tc>
          <w:tcPr>
            <w:tcW w:w="10065" w:type="dxa"/>
            <w:gridSpan w:val="2"/>
            <w:shd w:val="clear" w:color="auto" w:fill="FFE599" w:themeFill="accent4" w:themeFillTint="66"/>
            <w:vAlign w:val="center"/>
          </w:tcPr>
          <w:p w:rsidR="001B2E5C" w:rsidRPr="001B2E5C" w:rsidRDefault="001B2E5C" w:rsidP="001B2E5C">
            <w:pPr>
              <w:jc w:val="center"/>
              <w:rPr>
                <w:rFonts w:ascii="Arial Narrow" w:hAnsi="Arial Narrow"/>
                <w:b/>
              </w:rPr>
            </w:pPr>
            <w:r w:rsidRPr="001B2E5C">
              <w:rPr>
                <w:rFonts w:ascii="Arial Narrow" w:hAnsi="Arial Narrow"/>
                <w:b/>
              </w:rPr>
              <w:t>Nota media</w:t>
            </w:r>
          </w:p>
        </w:tc>
        <w:tc>
          <w:tcPr>
            <w:tcW w:w="628"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8"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c>
          <w:tcPr>
            <w:tcW w:w="629" w:type="dxa"/>
            <w:shd w:val="clear" w:color="auto" w:fill="FFFFFF" w:themeFill="background1"/>
            <w:vAlign w:val="center"/>
          </w:tcPr>
          <w:p w:rsidR="001B2E5C" w:rsidRDefault="001B2E5C" w:rsidP="009B36C3">
            <w:pPr>
              <w:jc w:val="center"/>
              <w:rPr>
                <w:rFonts w:ascii="Arial Narrow" w:hAnsi="Arial Narrow"/>
              </w:rPr>
            </w:pPr>
          </w:p>
        </w:tc>
      </w:tr>
    </w:tbl>
    <w:p w:rsidR="001B2E5C" w:rsidRDefault="001B2E5C" w:rsidP="00E31D48">
      <w:pPr>
        <w:pStyle w:val="Piedepgina"/>
        <w:rPr>
          <w:rFonts w:ascii="Arial Narrow" w:hAnsi="Arial Narrow"/>
        </w:rPr>
      </w:pPr>
    </w:p>
    <w:p w:rsidR="00E31D48" w:rsidRPr="00AB02AE" w:rsidRDefault="00E31D48" w:rsidP="00E31D48">
      <w:pPr>
        <w:pStyle w:val="Piedepgina"/>
        <w:rPr>
          <w:rFonts w:ascii="Arial Narrow" w:hAnsi="Arial Narrow"/>
        </w:rPr>
      </w:pPr>
      <w:r>
        <w:rPr>
          <w:rFonts w:ascii="Arial Narrow" w:hAnsi="Arial Narrow"/>
        </w:rPr>
        <w:t xml:space="preserve">Observaciones: </w:t>
      </w:r>
    </w:p>
    <w:sectPr w:rsidR="00E31D48" w:rsidRPr="00AB02AE" w:rsidSect="00E31D48">
      <w:pgSz w:w="16838" w:h="11906" w:orient="landscape"/>
      <w:pgMar w:top="851" w:right="962"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C7" w:rsidRDefault="00B652C7" w:rsidP="00E7676B">
      <w:pPr>
        <w:spacing w:after="0" w:line="240" w:lineRule="auto"/>
      </w:pPr>
      <w:r>
        <w:separator/>
      </w:r>
    </w:p>
  </w:endnote>
  <w:endnote w:type="continuationSeparator" w:id="1">
    <w:p w:rsidR="00B652C7" w:rsidRDefault="00B652C7" w:rsidP="00E7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C7" w:rsidRDefault="00B652C7" w:rsidP="00E7676B">
      <w:pPr>
        <w:spacing w:after="0" w:line="240" w:lineRule="auto"/>
      </w:pPr>
      <w:r>
        <w:separator/>
      </w:r>
    </w:p>
  </w:footnote>
  <w:footnote w:type="continuationSeparator" w:id="1">
    <w:p w:rsidR="00B652C7" w:rsidRDefault="00B652C7" w:rsidP="00E767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0"/>
    <w:footnote w:id="1"/>
  </w:footnotePr>
  <w:endnotePr>
    <w:endnote w:id="0"/>
    <w:endnote w:id="1"/>
  </w:endnotePr>
  <w:compat/>
  <w:rsids>
    <w:rsidRoot w:val="00AB02AE"/>
    <w:rsid w:val="00020975"/>
    <w:rsid w:val="000843B1"/>
    <w:rsid w:val="00110B5B"/>
    <w:rsid w:val="001B2E5C"/>
    <w:rsid w:val="003F474C"/>
    <w:rsid w:val="004237AA"/>
    <w:rsid w:val="00484687"/>
    <w:rsid w:val="004D75DB"/>
    <w:rsid w:val="004D75E1"/>
    <w:rsid w:val="00655B43"/>
    <w:rsid w:val="007548CC"/>
    <w:rsid w:val="007A1D53"/>
    <w:rsid w:val="00986407"/>
    <w:rsid w:val="009B36C3"/>
    <w:rsid w:val="00A325F7"/>
    <w:rsid w:val="00A96EF9"/>
    <w:rsid w:val="00AB02AE"/>
    <w:rsid w:val="00AD6C84"/>
    <w:rsid w:val="00B174F9"/>
    <w:rsid w:val="00B652C7"/>
    <w:rsid w:val="00CB42D7"/>
    <w:rsid w:val="00CD6847"/>
    <w:rsid w:val="00D021EA"/>
    <w:rsid w:val="00D20081"/>
    <w:rsid w:val="00D4479E"/>
    <w:rsid w:val="00D74075"/>
    <w:rsid w:val="00E31D48"/>
    <w:rsid w:val="00E7676B"/>
    <w:rsid w:val="00EA37FE"/>
    <w:rsid w:val="00EB0D9D"/>
    <w:rsid w:val="00F16F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5F7"/>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E76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76B"/>
  </w:style>
  <w:style w:type="paragraph" w:styleId="Piedepgina">
    <w:name w:val="footer"/>
    <w:basedOn w:val="Normal"/>
    <w:link w:val="PiedepginaCar"/>
    <w:uiPriority w:val="99"/>
    <w:unhideWhenUsed/>
    <w:rsid w:val="00E767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76B"/>
  </w:style>
</w:styles>
</file>

<file path=word/webSettings.xml><?xml version="1.0" encoding="utf-8"?>
<w:webSettings xmlns:r="http://schemas.openxmlformats.org/officeDocument/2006/relationships" xmlns:w="http://schemas.openxmlformats.org/wordprocessingml/2006/main">
  <w:divs>
    <w:div w:id="8898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antonio</cp:lastModifiedBy>
  <cp:revision>26</cp:revision>
  <dcterms:created xsi:type="dcterms:W3CDTF">2016-11-10T18:05:00Z</dcterms:created>
  <dcterms:modified xsi:type="dcterms:W3CDTF">2017-04-03T14:51:00Z</dcterms:modified>
</cp:coreProperties>
</file>