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CD" w:rsidRDefault="00AB02AE" w:rsidP="004E60CD">
      <w:pPr>
        <w:spacing w:after="0" w:line="360" w:lineRule="auto"/>
        <w:rPr>
          <w:rFonts w:ascii="Arial Narrow" w:hAnsi="Arial Narrow"/>
        </w:rPr>
      </w:pPr>
      <w:r w:rsidRPr="00AB02AE">
        <w:rPr>
          <w:rFonts w:ascii="Arial Narrow" w:hAnsi="Arial Narrow"/>
          <w:b/>
        </w:rPr>
        <w:t>NOMBRE DEL ALUMNO/A:</w:t>
      </w:r>
      <w:r>
        <w:rPr>
          <w:rFonts w:ascii="Arial Narrow" w:hAnsi="Arial Narrow"/>
        </w:rPr>
        <w:t xml:space="preserve"> ____________________________________________</w:t>
      </w:r>
      <w:r w:rsidR="00A325F7">
        <w:rPr>
          <w:rFonts w:ascii="Arial Narrow" w:hAnsi="Arial Narrow"/>
        </w:rPr>
        <w:t>_______________</w:t>
      </w:r>
      <w:r w:rsidR="004F4EE1">
        <w:rPr>
          <w:rFonts w:ascii="Arial Narrow" w:hAnsi="Arial Narrow"/>
        </w:rPr>
        <w:t>____</w:t>
      </w:r>
      <w:r>
        <w:rPr>
          <w:rFonts w:ascii="Arial Narrow" w:hAnsi="Arial Narrow"/>
        </w:rPr>
        <w:tab/>
      </w:r>
      <w:r>
        <w:rPr>
          <w:rFonts w:ascii="Arial Narrow" w:hAnsi="Arial Narrow"/>
        </w:rPr>
        <w:tab/>
      </w:r>
      <w:r w:rsidRPr="00AB02AE">
        <w:rPr>
          <w:rFonts w:ascii="Arial Narrow" w:hAnsi="Arial Narrow"/>
          <w:b/>
        </w:rPr>
        <w:t>CURSO:</w:t>
      </w:r>
      <w:r w:rsidR="00723EAC">
        <w:rPr>
          <w:rFonts w:ascii="Arial Narrow" w:hAnsi="Arial Narrow"/>
        </w:rPr>
        <w:t xml:space="preserve"> 2</w:t>
      </w:r>
      <w:r w:rsidR="00642DD0">
        <w:rPr>
          <w:rFonts w:ascii="Arial Narrow" w:hAnsi="Arial Narrow"/>
        </w:rPr>
        <w:t>º EP</w:t>
      </w:r>
      <w:r w:rsidR="00A325F7">
        <w:rPr>
          <w:rFonts w:ascii="Arial Narrow" w:hAnsi="Arial Narrow"/>
        </w:rPr>
        <w:tab/>
      </w:r>
      <w:r w:rsidR="00A325F7">
        <w:rPr>
          <w:rFonts w:ascii="Arial Narrow" w:hAnsi="Arial Narrow"/>
        </w:rPr>
        <w:tab/>
      </w:r>
      <w:r w:rsidR="00A325F7">
        <w:rPr>
          <w:rFonts w:ascii="Arial Narrow" w:hAnsi="Arial Narrow"/>
          <w:b/>
        </w:rPr>
        <w:t xml:space="preserve">ÁREA: </w:t>
      </w:r>
      <w:r w:rsidR="00642DD0">
        <w:rPr>
          <w:rFonts w:ascii="Arial Narrow" w:hAnsi="Arial Narrow"/>
        </w:rPr>
        <w:t>Matemáticas</w:t>
      </w:r>
    </w:p>
    <w:p w:rsidR="004E60CD" w:rsidRDefault="004E60CD" w:rsidP="004E60CD">
      <w:pPr>
        <w:spacing w:after="0" w:line="360" w:lineRule="auto"/>
        <w:rPr>
          <w:rFonts w:ascii="Arial Narrow" w:hAnsi="Arial Narrow"/>
        </w:rPr>
      </w:pPr>
    </w:p>
    <w:p w:rsidR="003155FF" w:rsidRDefault="003155FF" w:rsidP="004E60CD">
      <w:pPr>
        <w:spacing w:after="0" w:line="360" w:lineRule="auto"/>
        <w:rPr>
          <w:rFonts w:ascii="Arial Narrow" w:hAnsi="Arial Narrow"/>
        </w:rPr>
      </w:pPr>
    </w:p>
    <w:tbl>
      <w:tblPr>
        <w:tblStyle w:val="Tablaconcuadrcula"/>
        <w:tblW w:w="15722" w:type="dxa"/>
        <w:tblInd w:w="-431" w:type="dxa"/>
        <w:tblLook w:val="04A0"/>
      </w:tblPr>
      <w:tblGrid>
        <w:gridCol w:w="539"/>
        <w:gridCol w:w="6515"/>
        <w:gridCol w:w="541"/>
        <w:gridCol w:w="541"/>
        <w:gridCol w:w="542"/>
        <w:gridCol w:w="541"/>
        <w:gridCol w:w="541"/>
        <w:gridCol w:w="542"/>
        <w:gridCol w:w="541"/>
        <w:gridCol w:w="542"/>
        <w:gridCol w:w="541"/>
        <w:gridCol w:w="541"/>
        <w:gridCol w:w="542"/>
        <w:gridCol w:w="541"/>
        <w:gridCol w:w="541"/>
        <w:gridCol w:w="542"/>
        <w:gridCol w:w="541"/>
        <w:gridCol w:w="548"/>
      </w:tblGrid>
      <w:tr w:rsidR="00DA75CF" w:rsidTr="00DA75CF">
        <w:tc>
          <w:tcPr>
            <w:tcW w:w="540" w:type="dxa"/>
            <w:shd w:val="clear" w:color="auto" w:fill="000000" w:themeFill="text1"/>
          </w:tcPr>
          <w:p w:rsidR="00DA75CF" w:rsidRPr="007A1D53" w:rsidRDefault="00DA75CF" w:rsidP="007A1D53">
            <w:pPr>
              <w:jc w:val="center"/>
              <w:rPr>
                <w:rFonts w:ascii="Arial Narrow" w:hAnsi="Arial Narrow"/>
                <w:b/>
                <w:color w:val="FFFFFF" w:themeColor="background1"/>
              </w:rPr>
            </w:pPr>
          </w:p>
        </w:tc>
        <w:tc>
          <w:tcPr>
            <w:tcW w:w="15182" w:type="dxa"/>
            <w:gridSpan w:val="17"/>
            <w:shd w:val="clear" w:color="auto" w:fill="000000" w:themeFill="text1"/>
            <w:vAlign w:val="center"/>
          </w:tcPr>
          <w:p w:rsidR="00DA75CF" w:rsidRPr="007A1D53" w:rsidRDefault="00DA75CF" w:rsidP="007A1D53">
            <w:pPr>
              <w:jc w:val="center"/>
              <w:rPr>
                <w:rFonts w:ascii="Arial Narrow" w:hAnsi="Arial Narrow"/>
                <w:b/>
                <w:color w:val="FFFFFF" w:themeColor="background1"/>
              </w:rPr>
            </w:pPr>
            <w:r w:rsidRPr="007A1D53">
              <w:rPr>
                <w:rFonts w:ascii="Arial Narrow" w:hAnsi="Arial Narrow"/>
                <w:b/>
                <w:color w:val="FFFFFF" w:themeColor="background1"/>
              </w:rPr>
              <w:t xml:space="preserve">RELACIÓN INDICADORES DE EVALUACIÓN &amp; UNIDADES DIDÁCTICAS </w:t>
            </w:r>
          </w:p>
        </w:tc>
      </w:tr>
      <w:tr w:rsidR="00DA75CF" w:rsidTr="00DA75CF">
        <w:tc>
          <w:tcPr>
            <w:tcW w:w="7060" w:type="dxa"/>
            <w:gridSpan w:val="2"/>
            <w:vMerge w:val="restart"/>
            <w:shd w:val="clear" w:color="auto" w:fill="D9D9D9" w:themeFill="background1" w:themeFillShade="D9"/>
            <w:vAlign w:val="center"/>
          </w:tcPr>
          <w:p w:rsidR="00DA75CF" w:rsidRPr="00F16FE0" w:rsidRDefault="00DA75CF" w:rsidP="007A1D53">
            <w:pPr>
              <w:jc w:val="center"/>
              <w:rPr>
                <w:rFonts w:ascii="Arial Narrow" w:hAnsi="Arial Narrow"/>
                <w:b/>
              </w:rPr>
            </w:pPr>
            <w:r w:rsidRPr="00F16FE0">
              <w:rPr>
                <w:rFonts w:ascii="Arial Narrow" w:hAnsi="Arial Narrow"/>
                <w:b/>
              </w:rPr>
              <w:t xml:space="preserve">Relación de indicadores </w:t>
            </w:r>
          </w:p>
        </w:tc>
        <w:tc>
          <w:tcPr>
            <w:tcW w:w="540" w:type="dxa"/>
            <w:shd w:val="clear" w:color="auto" w:fill="D9D9D9" w:themeFill="background1" w:themeFillShade="D9"/>
          </w:tcPr>
          <w:p w:rsidR="00DA75CF" w:rsidRPr="00F16FE0" w:rsidRDefault="00DA75CF" w:rsidP="007A1D53">
            <w:pPr>
              <w:jc w:val="center"/>
              <w:rPr>
                <w:rFonts w:ascii="Arial Narrow" w:hAnsi="Arial Narrow"/>
                <w:b/>
              </w:rPr>
            </w:pPr>
          </w:p>
        </w:tc>
        <w:tc>
          <w:tcPr>
            <w:tcW w:w="8122" w:type="dxa"/>
            <w:gridSpan w:val="15"/>
            <w:shd w:val="clear" w:color="auto" w:fill="D9D9D9" w:themeFill="background1" w:themeFillShade="D9"/>
            <w:vAlign w:val="center"/>
          </w:tcPr>
          <w:p w:rsidR="00DA75CF" w:rsidRPr="00F16FE0" w:rsidRDefault="00DA75CF" w:rsidP="007A1D53">
            <w:pPr>
              <w:jc w:val="center"/>
              <w:rPr>
                <w:rFonts w:ascii="Arial Narrow" w:hAnsi="Arial Narrow"/>
                <w:b/>
              </w:rPr>
            </w:pPr>
            <w:r w:rsidRPr="00F16FE0">
              <w:rPr>
                <w:rFonts w:ascii="Arial Narrow" w:hAnsi="Arial Narrow"/>
                <w:b/>
              </w:rPr>
              <w:t xml:space="preserve">Trabajado dentro de la </w:t>
            </w:r>
            <w:proofErr w:type="spellStart"/>
            <w:r w:rsidRPr="00F16FE0">
              <w:rPr>
                <w:rFonts w:ascii="Arial Narrow" w:hAnsi="Arial Narrow"/>
                <w:b/>
              </w:rPr>
              <w:t>u.d</w:t>
            </w:r>
            <w:proofErr w:type="spellEnd"/>
          </w:p>
        </w:tc>
      </w:tr>
      <w:tr w:rsidR="00DA75CF" w:rsidTr="00C865FF">
        <w:tc>
          <w:tcPr>
            <w:tcW w:w="7060" w:type="dxa"/>
            <w:gridSpan w:val="2"/>
            <w:vMerge/>
            <w:shd w:val="clear" w:color="auto" w:fill="D9D9D9" w:themeFill="background1" w:themeFillShade="D9"/>
            <w:vAlign w:val="center"/>
          </w:tcPr>
          <w:p w:rsidR="00DA75CF" w:rsidRDefault="00DA75CF" w:rsidP="00DA75CF">
            <w:pPr>
              <w:jc w:val="center"/>
              <w:rPr>
                <w:rFonts w:ascii="Arial Narrow" w:hAnsi="Arial Narrow"/>
              </w:rPr>
            </w:pPr>
          </w:p>
        </w:tc>
        <w:tc>
          <w:tcPr>
            <w:tcW w:w="540"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1</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2</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3</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4</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5</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6</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7</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8</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9</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10</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11</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12</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13</w:t>
            </w:r>
          </w:p>
        </w:tc>
        <w:tc>
          <w:tcPr>
            <w:tcW w:w="541" w:type="dxa"/>
            <w:shd w:val="clear" w:color="auto" w:fill="FFE599" w:themeFill="accent4" w:themeFillTint="66"/>
            <w:vAlign w:val="center"/>
          </w:tcPr>
          <w:p w:rsidR="00DA75CF" w:rsidRPr="00CD6847" w:rsidRDefault="00DA75CF" w:rsidP="00DA75CF">
            <w:pPr>
              <w:jc w:val="center"/>
              <w:rPr>
                <w:rFonts w:ascii="Arial Narrow" w:hAnsi="Arial Narrow"/>
                <w:b/>
              </w:rPr>
            </w:pPr>
            <w:r w:rsidRPr="00CD6847">
              <w:rPr>
                <w:rFonts w:ascii="Arial Narrow" w:hAnsi="Arial Narrow"/>
                <w:b/>
              </w:rPr>
              <w:t>14</w:t>
            </w:r>
          </w:p>
        </w:tc>
        <w:tc>
          <w:tcPr>
            <w:tcW w:w="541" w:type="dxa"/>
            <w:shd w:val="clear" w:color="auto" w:fill="FFE599" w:themeFill="accent4" w:themeFillTint="66"/>
            <w:vAlign w:val="center"/>
          </w:tcPr>
          <w:p w:rsidR="00DA75CF" w:rsidRPr="00CD6847" w:rsidRDefault="00DA75CF" w:rsidP="00C865FF">
            <w:pPr>
              <w:jc w:val="center"/>
              <w:rPr>
                <w:rFonts w:ascii="Arial Narrow" w:hAnsi="Arial Narrow"/>
                <w:b/>
              </w:rPr>
            </w:pPr>
            <w:r>
              <w:rPr>
                <w:rFonts w:ascii="Arial Narrow" w:hAnsi="Arial Narrow"/>
                <w:b/>
              </w:rPr>
              <w:t>15</w:t>
            </w:r>
          </w:p>
        </w:tc>
        <w:tc>
          <w:tcPr>
            <w:tcW w:w="548" w:type="dxa"/>
            <w:shd w:val="clear" w:color="auto" w:fill="FFE599" w:themeFill="accent4" w:themeFillTint="66"/>
            <w:vAlign w:val="center"/>
          </w:tcPr>
          <w:p w:rsidR="00DA75CF" w:rsidRPr="00CD6847" w:rsidRDefault="00DA75CF" w:rsidP="00DA75CF">
            <w:pPr>
              <w:jc w:val="center"/>
              <w:rPr>
                <w:rFonts w:ascii="Arial Narrow" w:hAnsi="Arial Narrow"/>
                <w:b/>
              </w:rPr>
            </w:pPr>
            <w:r w:rsidRPr="003F474C">
              <w:rPr>
                <w:rFonts w:ascii="Arial Narrow" w:hAnsi="Arial Narrow"/>
                <w:b/>
                <w:sz w:val="14"/>
              </w:rPr>
              <w:t xml:space="preserve">Nota media </w:t>
            </w:r>
          </w:p>
        </w:tc>
      </w:tr>
      <w:tr w:rsidR="003155FF" w:rsidTr="00225856">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MAT1.1 - Identifica, resuelve e inventa problemas aditivos de una operación en situaciones sencillas de cambio, combinación, igualación y comparación de la vida cotidiana. (CMCT)</w:t>
            </w: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3155FF" w:rsidTr="00225856">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MAT1.2 - Identifica los datos numéricos y elementos básicos de un problema, utilizando estrategias personales de resolución. (CMCT, CAA)</w:t>
            </w: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3155FF" w:rsidTr="00EA469A">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MAT1.3 -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 (CMCT, CAA)</w:t>
            </w: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3155FF" w:rsidTr="00225856">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MAT2.1 -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w:t>
            </w: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3155FF" w:rsidTr="00225856">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MAT2.2 - Expresa con claridad las estrategias utilizadas y las conclusiones obtenidas. (CMCT, CAA)</w:t>
            </w: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3155FF" w:rsidTr="00225856">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MAT2.3 - Elabora y presenta informes sencillos sobre el proyecto desarrollado. (CMCT, CAA, SIEP)</w:t>
            </w: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EA469A" w:rsidTr="00EA469A">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MAT3.1 -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(CMCT, CAA)</w:t>
            </w: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EA469A" w:rsidTr="00225856">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MAT3.2 - Toma decisiones, las valora y reflexiona sobre ellas en los procesos del trabajo matemático de su entorno inmediato, contrasta sus decisiones con el grupo, siendo capaz de aplicar las ideas claves en otras situaciones parecidas. (CMCT, CAA, CSYC, SIEP)</w:t>
            </w: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EA469A" w:rsidTr="00225856">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MAT4.1 - Interpreta y expresa el valor de los números en textos numéricos de la vida cotidiana. (CMCT)</w:t>
            </w: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EA469A" w:rsidTr="00225856">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MAT4.2 - Compara y ordena números naturales de hasta tres cifras por el valor posicional y por representación en la recta numérica. (CMCT)</w:t>
            </w: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EA469A" w:rsidTr="00225856">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MAT4.3 - Descompone, compone y redondea números hasta la decena o centena más próxima. (CMCT)</w:t>
            </w: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3155FF" w:rsidTr="00EA469A">
        <w:trPr>
          <w:trHeight w:val="345"/>
        </w:trPr>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MAT4.4 - Formula preguntas y problemas sobre situaciones de la vida cotidiana que se resuelven contando, leyendo, escribiendo y comparando números. (CMCT, CAA)</w:t>
            </w: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3155FF" w:rsidTr="00225856">
        <w:trPr>
          <w:trHeight w:val="195"/>
        </w:trPr>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MAT5.1 - Realiza operaciones de suma y resta con números naturales. Utiliza y automatiza sus algoritmos, aplicándolos en situaciones de su vida cotidiana y en la resolución de problemas. (CMCT)</w:t>
            </w: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MAT5.2 - Utiliza algunas estrategias sencillas de cálculo mental: sumas y restas de decenas y centenas exactas, redondeos de números, estimaciones del resultado por redondeo, cambiando los sumando si le es más fácil. (CMCT, CAA)</w:t>
            </w: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MAT5.3 - Aplica las propiedades de las operaciones y las relaciones entre ellas. (CMCT)</w:t>
            </w: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MAT6.1 - Medir objetos y espacios en los contextos familiar y escolar con unidades de medida no convencionales (palmos, pasos, baldosas) y convencionales (metro, centímetro, kilogramo y litro). (CMCT)</w:t>
            </w: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MAT6.2 - Medir intervalos de tiempo de días y horas. (CMCT)</w:t>
            </w: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3155FF" w:rsidRDefault="003155FF" w:rsidP="00225856">
            <w:pPr>
              <w:autoSpaceDE w:val="0"/>
              <w:autoSpaceDN w:val="0"/>
              <w:adjustRightInd w:val="0"/>
              <w:rPr>
                <w:rFonts w:ascii="Arial Narrow" w:hAnsi="Arial Narrow" w:cs="Arial"/>
                <w:sz w:val="16"/>
                <w:szCs w:val="18"/>
              </w:rPr>
            </w:pPr>
            <w:r w:rsidRPr="003155FF">
              <w:rPr>
                <w:rFonts w:ascii="Arial Narrow" w:hAnsi="Arial Narrow" w:cs="Arial"/>
                <w:sz w:val="16"/>
                <w:szCs w:val="18"/>
              </w:rPr>
              <w:t>MAT6.3 - Escoger los instrumentos y unidades más adecuados para la medición de una magnitud. (CMCT, CAA)</w:t>
            </w: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2" w:type="dxa"/>
            <w:shd w:val="clear" w:color="auto" w:fill="auto"/>
            <w:vAlign w:val="center"/>
          </w:tcPr>
          <w:p w:rsidR="003155FF" w:rsidRDefault="003155FF" w:rsidP="003155FF">
            <w:pPr>
              <w:jc w:val="center"/>
              <w:rPr>
                <w:rFonts w:ascii="Arial Narrow" w:hAnsi="Arial Narrow"/>
              </w:rPr>
            </w:pPr>
          </w:p>
        </w:tc>
      </w:tr>
      <w:tr w:rsidR="003155FF" w:rsidTr="00C865FF">
        <w:tc>
          <w:tcPr>
            <w:tcW w:w="7060" w:type="dxa"/>
            <w:gridSpan w:val="2"/>
            <w:shd w:val="clear" w:color="auto" w:fill="BFBFBF" w:themeFill="background1" w:themeFillShade="BF"/>
            <w:vAlign w:val="center"/>
          </w:tcPr>
          <w:p w:rsidR="003155FF" w:rsidRPr="00F16FE0" w:rsidRDefault="003155FF" w:rsidP="003155FF">
            <w:pPr>
              <w:pStyle w:val="Default"/>
              <w:jc w:val="center"/>
              <w:rPr>
                <w:rFonts w:ascii="Arial Narrow" w:hAnsi="Arial Narrow"/>
                <w:sz w:val="16"/>
                <w:szCs w:val="16"/>
              </w:rPr>
            </w:pPr>
            <w:r w:rsidRPr="00F16FE0">
              <w:rPr>
                <w:rFonts w:ascii="Arial Narrow" w:hAnsi="Arial Narrow"/>
                <w:b/>
              </w:rPr>
              <w:lastRenderedPageBreak/>
              <w:t>Relación de indicadores</w:t>
            </w:r>
          </w:p>
        </w:tc>
        <w:tc>
          <w:tcPr>
            <w:tcW w:w="540"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1</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2</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3</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4</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5</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6</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7</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8</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9</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10</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11</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12</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13</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sidRPr="00CD6847">
              <w:rPr>
                <w:rFonts w:ascii="Arial Narrow" w:hAnsi="Arial Narrow"/>
                <w:b/>
              </w:rPr>
              <w:t>14</w:t>
            </w:r>
          </w:p>
        </w:tc>
        <w:tc>
          <w:tcPr>
            <w:tcW w:w="541" w:type="dxa"/>
            <w:shd w:val="clear" w:color="auto" w:fill="FFE599" w:themeFill="accent4" w:themeFillTint="66"/>
            <w:vAlign w:val="center"/>
          </w:tcPr>
          <w:p w:rsidR="003155FF" w:rsidRPr="00CD6847" w:rsidRDefault="003155FF" w:rsidP="003155FF">
            <w:pPr>
              <w:jc w:val="center"/>
              <w:rPr>
                <w:rFonts w:ascii="Arial Narrow" w:hAnsi="Arial Narrow"/>
                <w:b/>
              </w:rPr>
            </w:pPr>
            <w:r>
              <w:rPr>
                <w:rFonts w:ascii="Arial Narrow" w:hAnsi="Arial Narrow"/>
                <w:b/>
              </w:rPr>
              <w:t>15</w:t>
            </w:r>
          </w:p>
        </w:tc>
        <w:tc>
          <w:tcPr>
            <w:tcW w:w="548" w:type="dxa"/>
            <w:shd w:val="clear" w:color="auto" w:fill="FFE599" w:themeFill="accent4" w:themeFillTint="66"/>
            <w:vAlign w:val="center"/>
          </w:tcPr>
          <w:p w:rsidR="003155FF" w:rsidRPr="00CD6847" w:rsidRDefault="003155FF" w:rsidP="003155FF">
            <w:pPr>
              <w:jc w:val="center"/>
              <w:rPr>
                <w:rFonts w:ascii="Arial Narrow" w:hAnsi="Arial Narrow"/>
                <w:b/>
              </w:rPr>
            </w:pPr>
            <w:r w:rsidRPr="003F474C">
              <w:rPr>
                <w:rFonts w:ascii="Arial Narrow" w:hAnsi="Arial Narrow"/>
                <w:b/>
                <w:sz w:val="14"/>
              </w:rPr>
              <w:t xml:space="preserve">Nota media </w:t>
            </w:r>
          </w:p>
        </w:tc>
      </w:tr>
      <w:tr w:rsidR="00EA469A" w:rsidTr="00535A6D">
        <w:tc>
          <w:tcPr>
            <w:tcW w:w="7060" w:type="dxa"/>
            <w:gridSpan w:val="2"/>
            <w:vAlign w:val="center"/>
          </w:tcPr>
          <w:p w:rsidR="003155FF" w:rsidRPr="000E2581" w:rsidRDefault="003155FF" w:rsidP="00225856">
            <w:pPr>
              <w:autoSpaceDE w:val="0"/>
              <w:autoSpaceDN w:val="0"/>
              <w:adjustRightInd w:val="0"/>
              <w:rPr>
                <w:rFonts w:ascii="Arial Narrow" w:hAnsi="Arial Narrow" w:cs="Arial"/>
                <w:sz w:val="16"/>
                <w:szCs w:val="18"/>
              </w:rPr>
            </w:pPr>
            <w:r w:rsidRPr="000E2581">
              <w:rPr>
                <w:rFonts w:ascii="Arial Narrow" w:hAnsi="Arial Narrow" w:cs="Arial"/>
                <w:sz w:val="16"/>
                <w:szCs w:val="18"/>
              </w:rPr>
              <w:t>MAT7.1 - Operar mediante sumas con diferentes medidas obtenidas en los contextos escolar y familiar. (CMCT)</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0E2581" w:rsidRDefault="003155FF" w:rsidP="00225856">
            <w:pPr>
              <w:autoSpaceDE w:val="0"/>
              <w:autoSpaceDN w:val="0"/>
              <w:adjustRightInd w:val="0"/>
              <w:rPr>
                <w:rFonts w:ascii="Arial Narrow" w:hAnsi="Arial Narrow" w:cs="Arial"/>
                <w:sz w:val="16"/>
                <w:szCs w:val="18"/>
              </w:rPr>
            </w:pPr>
            <w:r w:rsidRPr="000E2581">
              <w:rPr>
                <w:rFonts w:ascii="Arial Narrow" w:hAnsi="Arial Narrow" w:cs="Arial"/>
                <w:sz w:val="16"/>
                <w:szCs w:val="18"/>
              </w:rPr>
              <w:t>MAT7.2 - Operar mediante restas con diferentes medidas obtenidas en los contextos escolar y familiar (CMCT)</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0E2581" w:rsidRDefault="003155FF" w:rsidP="00225856">
            <w:pPr>
              <w:rPr>
                <w:sz w:val="16"/>
              </w:rPr>
            </w:pPr>
            <w:r w:rsidRPr="000E2581">
              <w:rPr>
                <w:rFonts w:ascii="Arial Narrow" w:hAnsi="Arial Narrow" w:cs="Arial"/>
                <w:sz w:val="16"/>
                <w:szCs w:val="18"/>
              </w:rPr>
              <w:t>MAT8.1 - Conocer las unidades más apropiadas para determinar la duración de intervalos de tiempo. (CMCT)</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0E2581" w:rsidRDefault="003155FF" w:rsidP="00225856">
            <w:pPr>
              <w:pStyle w:val="Default"/>
              <w:rPr>
                <w:rFonts w:ascii="Arial Narrow" w:hAnsi="Arial Narrow"/>
                <w:sz w:val="16"/>
                <w:szCs w:val="16"/>
              </w:rPr>
            </w:pPr>
            <w:r w:rsidRPr="000E2581">
              <w:rPr>
                <w:rFonts w:ascii="Arial Narrow" w:hAnsi="Arial Narrow" w:cs="Arial"/>
                <w:sz w:val="16"/>
                <w:szCs w:val="18"/>
              </w:rPr>
              <w:t>MAT8.2 - Utilizar las unidades de tiempo en la lectura de calendarios, horarios y relojes analógicos y digitales (horas en punto y medias) en los contextos escolar y familiar. (CMCT, CAA)</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0E2581" w:rsidRDefault="003155FF" w:rsidP="00225856">
            <w:pPr>
              <w:autoSpaceDE w:val="0"/>
              <w:autoSpaceDN w:val="0"/>
              <w:adjustRightInd w:val="0"/>
              <w:rPr>
                <w:rFonts w:ascii="Arial Narrow" w:hAnsi="Arial Narrow" w:cs="Arial"/>
                <w:sz w:val="16"/>
                <w:szCs w:val="18"/>
              </w:rPr>
            </w:pPr>
            <w:r w:rsidRPr="000E2581">
              <w:rPr>
                <w:rFonts w:ascii="Arial Narrow" w:hAnsi="Arial Narrow" w:cs="Arial"/>
                <w:sz w:val="16"/>
                <w:szCs w:val="18"/>
              </w:rPr>
              <w:t xml:space="preserve">MAT9.1 - Conocer el valor y las equivalencias entre las monedas y billetes del sistema monetario de la Unión Europea más usuales (50 </w:t>
            </w:r>
            <w:proofErr w:type="spellStart"/>
            <w:r w:rsidRPr="000E2581">
              <w:rPr>
                <w:rFonts w:ascii="Arial Narrow" w:hAnsi="Arial Narrow" w:cs="Arial"/>
                <w:sz w:val="16"/>
                <w:szCs w:val="18"/>
              </w:rPr>
              <w:t>ctmos</w:t>
            </w:r>
            <w:proofErr w:type="spellEnd"/>
            <w:r w:rsidRPr="000E2581">
              <w:rPr>
                <w:rFonts w:ascii="Arial Narrow" w:hAnsi="Arial Narrow" w:cs="Arial"/>
                <w:sz w:val="16"/>
                <w:szCs w:val="18"/>
              </w:rPr>
              <w:t>., 1, 2, 5, 10 y 20 euros). (CMCT)</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3155FF" w:rsidTr="00535A6D">
        <w:tc>
          <w:tcPr>
            <w:tcW w:w="7060" w:type="dxa"/>
            <w:gridSpan w:val="2"/>
            <w:vAlign w:val="center"/>
          </w:tcPr>
          <w:p w:rsidR="003155FF" w:rsidRPr="000E2581" w:rsidRDefault="003155FF" w:rsidP="00225856">
            <w:pPr>
              <w:autoSpaceDE w:val="0"/>
              <w:autoSpaceDN w:val="0"/>
              <w:adjustRightInd w:val="0"/>
              <w:rPr>
                <w:rFonts w:ascii="Arial Narrow" w:hAnsi="Arial Narrow" w:cs="Arial"/>
                <w:sz w:val="16"/>
                <w:szCs w:val="18"/>
              </w:rPr>
            </w:pPr>
            <w:r w:rsidRPr="000E2581">
              <w:rPr>
                <w:rFonts w:ascii="Arial Narrow" w:hAnsi="Arial Narrow" w:cs="Arial"/>
                <w:sz w:val="16"/>
                <w:szCs w:val="18"/>
              </w:rPr>
              <w:t xml:space="preserve">MAT9.2 - Manejar monedas de 50 </w:t>
            </w:r>
            <w:proofErr w:type="spellStart"/>
            <w:r w:rsidRPr="000E2581">
              <w:rPr>
                <w:rFonts w:ascii="Arial Narrow" w:hAnsi="Arial Narrow" w:cs="Arial"/>
                <w:sz w:val="16"/>
                <w:szCs w:val="18"/>
              </w:rPr>
              <w:t>ctmos</w:t>
            </w:r>
            <w:proofErr w:type="spellEnd"/>
            <w:r w:rsidRPr="000E2581">
              <w:rPr>
                <w:rFonts w:ascii="Arial Narrow" w:hAnsi="Arial Narrow" w:cs="Arial"/>
                <w:sz w:val="16"/>
                <w:szCs w:val="18"/>
              </w:rPr>
              <w:t>., 1y 2 euros, billetes de 5, 10 y 20 euros y sus equivalencias, en los contextos escolar y familiar en situaciones figuradas o reales. (CMCT, SIEP)</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0E2581" w:rsidRDefault="003155FF" w:rsidP="00225856">
            <w:pPr>
              <w:autoSpaceDE w:val="0"/>
              <w:autoSpaceDN w:val="0"/>
              <w:adjustRightInd w:val="0"/>
              <w:rPr>
                <w:rFonts w:ascii="Arial Narrow" w:hAnsi="Arial Narrow" w:cs="Arial"/>
                <w:sz w:val="16"/>
                <w:szCs w:val="18"/>
              </w:rPr>
            </w:pPr>
            <w:r w:rsidRPr="000E2581">
              <w:rPr>
                <w:rFonts w:ascii="Arial Narrow" w:hAnsi="Arial Narrow" w:cs="Arial"/>
                <w:sz w:val="16"/>
                <w:szCs w:val="18"/>
              </w:rPr>
              <w:t>MAT10.1 - Identifica la situación de un objeto del espacio próximo en relación a sí mismo, interpretando mensajes sencillos que contengan informaciones sobre relaciones espaciales, utilizando los conceptos de izquierda-derecha, delante-detrás, arriba-abajo, cerca-lejos y próximo-lejano. (CMCT, CCL)</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0E2581" w:rsidRDefault="003155FF" w:rsidP="00225856">
            <w:pPr>
              <w:autoSpaceDE w:val="0"/>
              <w:autoSpaceDN w:val="0"/>
              <w:adjustRightInd w:val="0"/>
              <w:rPr>
                <w:rFonts w:ascii="Arial Narrow" w:hAnsi="Arial Narrow" w:cs="Arial"/>
                <w:sz w:val="16"/>
                <w:szCs w:val="18"/>
              </w:rPr>
            </w:pPr>
            <w:r w:rsidRPr="000E2581">
              <w:rPr>
                <w:rFonts w:ascii="Arial Narrow" w:hAnsi="Arial Narrow" w:cs="Arial"/>
                <w:sz w:val="16"/>
                <w:szCs w:val="18"/>
              </w:rPr>
              <w:t xml:space="preserve">MAT10.2 - Sigue un desplazamiento o itinerario, interpretando mensajes sencillos que contengan informaciones sobre relaciones espaciales, utilizando los conceptos de izquierda-derecha, delante-detrás, arriba-abajo, cerca-lejos y </w:t>
            </w:r>
            <w:proofErr w:type="spellStart"/>
            <w:r w:rsidRPr="000E2581">
              <w:rPr>
                <w:rFonts w:ascii="Arial Narrow" w:hAnsi="Arial Narrow" w:cs="Arial"/>
                <w:sz w:val="16"/>
                <w:szCs w:val="18"/>
              </w:rPr>
              <w:t>próximolejano</w:t>
            </w:r>
            <w:proofErr w:type="spellEnd"/>
            <w:r w:rsidRPr="000E2581">
              <w:rPr>
                <w:rFonts w:ascii="Arial Narrow" w:hAnsi="Arial Narrow" w:cs="Arial"/>
                <w:sz w:val="16"/>
                <w:szCs w:val="18"/>
              </w:rPr>
              <w:t>. (CMCT, CCL)</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3155FF" w:rsidTr="00535A6D">
        <w:tc>
          <w:tcPr>
            <w:tcW w:w="7060" w:type="dxa"/>
            <w:gridSpan w:val="2"/>
            <w:vAlign w:val="center"/>
          </w:tcPr>
          <w:p w:rsidR="003155FF" w:rsidRPr="000E2581" w:rsidRDefault="003155FF" w:rsidP="00225856">
            <w:pPr>
              <w:autoSpaceDE w:val="0"/>
              <w:autoSpaceDN w:val="0"/>
              <w:adjustRightInd w:val="0"/>
              <w:rPr>
                <w:rFonts w:ascii="Arial Narrow" w:hAnsi="Arial Narrow" w:cs="Arial"/>
                <w:sz w:val="16"/>
                <w:szCs w:val="18"/>
              </w:rPr>
            </w:pPr>
            <w:r w:rsidRPr="000E2581">
              <w:rPr>
                <w:rFonts w:ascii="Arial Narrow" w:hAnsi="Arial Narrow" w:cs="Arial"/>
                <w:sz w:val="16"/>
                <w:szCs w:val="18"/>
              </w:rPr>
              <w:t>MAT11.1 - Compara y diferencia en los contextos familiar y escolar, las figuras planas (círculo, cuadrado, rectángulo y triangulo) y las formas espaciales (esfera y cubo). (CMCT)</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3155FF" w:rsidTr="00535A6D">
        <w:tc>
          <w:tcPr>
            <w:tcW w:w="7060" w:type="dxa"/>
            <w:gridSpan w:val="2"/>
            <w:vAlign w:val="center"/>
          </w:tcPr>
          <w:p w:rsidR="003155FF" w:rsidRPr="000E2581" w:rsidRDefault="003155FF" w:rsidP="00225856">
            <w:pPr>
              <w:autoSpaceDE w:val="0"/>
              <w:autoSpaceDN w:val="0"/>
              <w:adjustRightInd w:val="0"/>
              <w:rPr>
                <w:rFonts w:ascii="Arial Narrow" w:hAnsi="Arial Narrow" w:cs="Arial"/>
                <w:sz w:val="16"/>
                <w:szCs w:val="18"/>
              </w:rPr>
            </w:pPr>
            <w:r w:rsidRPr="000E2581">
              <w:rPr>
                <w:rFonts w:ascii="Arial Narrow" w:hAnsi="Arial Narrow" w:cs="Arial"/>
                <w:sz w:val="16"/>
                <w:szCs w:val="18"/>
              </w:rPr>
              <w:t>MAT11.2 - Identifica en los contextos familiar y escolar, las figuras planas (círculo, cuadrado, rectángulo y triangulo) y las formas espaciales (esfera y cubo). (CMCT, CEC)</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0E2581" w:rsidRDefault="003155FF" w:rsidP="00225856">
            <w:pPr>
              <w:autoSpaceDE w:val="0"/>
              <w:autoSpaceDN w:val="0"/>
              <w:adjustRightInd w:val="0"/>
              <w:rPr>
                <w:rFonts w:ascii="Arial Narrow" w:hAnsi="Arial Narrow" w:cs="Arial"/>
                <w:sz w:val="16"/>
                <w:szCs w:val="18"/>
              </w:rPr>
            </w:pPr>
            <w:r w:rsidRPr="000E2581">
              <w:rPr>
                <w:rFonts w:ascii="Arial Narrow" w:hAnsi="Arial Narrow" w:cs="Arial"/>
                <w:sz w:val="16"/>
                <w:szCs w:val="18"/>
              </w:rPr>
              <w:t>MAT11.3 - Enumera algunos elementos básicos de las figuras planas (círculo, cuadrado, rectángulo y triangulo) y las formas espaciales. (</w:t>
            </w:r>
            <w:r w:rsidR="000E2581" w:rsidRPr="000E2581">
              <w:rPr>
                <w:rFonts w:ascii="Arial Narrow" w:hAnsi="Arial Narrow" w:cs="Arial"/>
                <w:sz w:val="16"/>
                <w:szCs w:val="18"/>
              </w:rPr>
              <w:t>Esfera</w:t>
            </w:r>
            <w:r w:rsidRPr="000E2581">
              <w:rPr>
                <w:rFonts w:ascii="Arial Narrow" w:hAnsi="Arial Narrow" w:cs="Arial"/>
                <w:sz w:val="16"/>
                <w:szCs w:val="18"/>
              </w:rPr>
              <w:t xml:space="preserve"> y cubo). (CMCT, CCL)</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0E2581" w:rsidRDefault="003155FF" w:rsidP="00225856">
            <w:pPr>
              <w:autoSpaceDE w:val="0"/>
              <w:autoSpaceDN w:val="0"/>
              <w:adjustRightInd w:val="0"/>
              <w:rPr>
                <w:rFonts w:ascii="Arial Narrow" w:hAnsi="Arial Narrow" w:cs="Arial"/>
                <w:sz w:val="16"/>
                <w:szCs w:val="18"/>
              </w:rPr>
            </w:pPr>
            <w:r w:rsidRPr="000E2581">
              <w:rPr>
                <w:rFonts w:ascii="Arial Narrow" w:hAnsi="Arial Narrow" w:cs="Arial"/>
                <w:sz w:val="16"/>
                <w:szCs w:val="18"/>
              </w:rPr>
              <w:t>MAT12.1 - Lee y entiende una información cuantificable de los contextos familiar y escolar en tablas de datos y diagramas de barras, comunicando oralmente la información. (CCL, CMCT, CD)</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EA469A" w:rsidTr="00535A6D">
        <w:tc>
          <w:tcPr>
            <w:tcW w:w="7060" w:type="dxa"/>
            <w:gridSpan w:val="2"/>
            <w:vAlign w:val="center"/>
          </w:tcPr>
          <w:p w:rsidR="003155FF" w:rsidRPr="000E2581" w:rsidRDefault="003155FF" w:rsidP="00225856">
            <w:pPr>
              <w:autoSpaceDE w:val="0"/>
              <w:autoSpaceDN w:val="0"/>
              <w:adjustRightInd w:val="0"/>
              <w:rPr>
                <w:rFonts w:ascii="Arial Narrow" w:hAnsi="Arial Narrow" w:cs="Arial"/>
                <w:sz w:val="16"/>
                <w:szCs w:val="18"/>
              </w:rPr>
            </w:pPr>
            <w:bookmarkStart w:id="0" w:name="_GoBack" w:colFirst="9" w:colLast="15"/>
            <w:r w:rsidRPr="000E2581">
              <w:rPr>
                <w:rFonts w:ascii="Arial Narrow" w:hAnsi="Arial Narrow" w:cs="Arial"/>
                <w:sz w:val="16"/>
                <w:szCs w:val="18"/>
              </w:rPr>
              <w:t>MAT12.2 - Recoge y registra una información cuantificable de los contextos familiar y escolar en tablas de datos y diagramas de barras comunicando oralmente la información. (CCL, CMCT, CD)</w:t>
            </w:r>
          </w:p>
        </w:tc>
        <w:tc>
          <w:tcPr>
            <w:tcW w:w="540"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auto"/>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1" w:type="dxa"/>
            <w:shd w:val="clear" w:color="auto" w:fill="262626" w:themeFill="text1" w:themeFillTint="D9"/>
            <w:vAlign w:val="center"/>
          </w:tcPr>
          <w:p w:rsidR="003155FF" w:rsidRDefault="003155FF" w:rsidP="003155FF">
            <w:pPr>
              <w:jc w:val="center"/>
              <w:rPr>
                <w:rFonts w:ascii="Arial Narrow" w:hAnsi="Arial Narrow"/>
              </w:rPr>
            </w:pPr>
          </w:p>
        </w:tc>
        <w:tc>
          <w:tcPr>
            <w:tcW w:w="548" w:type="dxa"/>
            <w:shd w:val="clear" w:color="auto" w:fill="auto"/>
            <w:vAlign w:val="center"/>
          </w:tcPr>
          <w:p w:rsidR="003155FF" w:rsidRDefault="003155FF" w:rsidP="003155FF">
            <w:pPr>
              <w:jc w:val="center"/>
              <w:rPr>
                <w:rFonts w:ascii="Arial Narrow" w:hAnsi="Arial Narrow"/>
              </w:rPr>
            </w:pPr>
          </w:p>
        </w:tc>
      </w:tr>
      <w:tr w:rsidR="002502F3" w:rsidTr="002502F3">
        <w:tc>
          <w:tcPr>
            <w:tcW w:w="7060" w:type="dxa"/>
            <w:gridSpan w:val="2"/>
            <w:shd w:val="clear" w:color="auto" w:fill="FFE599" w:themeFill="accent4" w:themeFillTint="66"/>
            <w:vAlign w:val="center"/>
          </w:tcPr>
          <w:p w:rsidR="002502F3" w:rsidRPr="002502F3" w:rsidRDefault="002502F3" w:rsidP="002502F3">
            <w:pPr>
              <w:jc w:val="center"/>
              <w:rPr>
                <w:rFonts w:ascii="Arial Narrow" w:hAnsi="Arial Narrow"/>
                <w:b/>
              </w:rPr>
            </w:pPr>
            <w:r w:rsidRPr="002502F3">
              <w:rPr>
                <w:rFonts w:ascii="Arial Narrow" w:hAnsi="Arial Narrow"/>
                <w:b/>
              </w:rPr>
              <w:t>Nota media</w:t>
            </w:r>
          </w:p>
        </w:tc>
        <w:tc>
          <w:tcPr>
            <w:tcW w:w="540"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1" w:type="dxa"/>
            <w:shd w:val="clear" w:color="auto" w:fill="FFFFFF" w:themeFill="background1"/>
            <w:vAlign w:val="center"/>
          </w:tcPr>
          <w:p w:rsidR="002502F3" w:rsidRDefault="002502F3" w:rsidP="003155FF">
            <w:pPr>
              <w:jc w:val="center"/>
              <w:rPr>
                <w:rFonts w:ascii="Arial Narrow" w:hAnsi="Arial Narrow"/>
              </w:rPr>
            </w:pPr>
          </w:p>
        </w:tc>
        <w:tc>
          <w:tcPr>
            <w:tcW w:w="548" w:type="dxa"/>
            <w:shd w:val="clear" w:color="auto" w:fill="FFFFFF" w:themeFill="background1"/>
            <w:vAlign w:val="center"/>
          </w:tcPr>
          <w:p w:rsidR="002502F3" w:rsidRDefault="002502F3" w:rsidP="003155FF">
            <w:pPr>
              <w:jc w:val="center"/>
              <w:rPr>
                <w:rFonts w:ascii="Arial Narrow" w:hAnsi="Arial Narrow"/>
              </w:rPr>
            </w:pPr>
          </w:p>
        </w:tc>
      </w:tr>
      <w:bookmarkEnd w:id="0"/>
    </w:tbl>
    <w:p w:rsidR="00D74075" w:rsidRDefault="00D74075" w:rsidP="00AB02AE">
      <w:pPr>
        <w:rPr>
          <w:rFonts w:ascii="Arial Narrow" w:hAnsi="Arial Narrow"/>
        </w:rPr>
      </w:pPr>
    </w:p>
    <w:p w:rsidR="00DA75CF" w:rsidRPr="00AB02AE" w:rsidRDefault="00BA0881" w:rsidP="00AB02AE">
      <w:pPr>
        <w:rPr>
          <w:rFonts w:ascii="Arial Narrow" w:hAnsi="Arial Narrow"/>
        </w:rPr>
      </w:pPr>
      <w:r>
        <w:rPr>
          <w:rFonts w:ascii="Arial Narrow" w:hAnsi="Arial Narrow"/>
        </w:rPr>
        <w:t xml:space="preserve">Observaciones: </w:t>
      </w:r>
    </w:p>
    <w:sectPr w:rsidR="00DA75CF" w:rsidRPr="00AB02AE" w:rsidSect="00D20081">
      <w:pgSz w:w="16838" w:h="11906" w:orient="landscape"/>
      <w:pgMar w:top="1134" w:right="962"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8F0" w:rsidRDefault="00F328F0" w:rsidP="00F328F0">
      <w:pPr>
        <w:spacing w:after="0" w:line="240" w:lineRule="auto"/>
      </w:pPr>
      <w:r>
        <w:separator/>
      </w:r>
    </w:p>
  </w:endnote>
  <w:endnote w:type="continuationSeparator" w:id="1">
    <w:p w:rsidR="00F328F0" w:rsidRDefault="00F328F0" w:rsidP="00F32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8F0" w:rsidRDefault="00F328F0" w:rsidP="00F328F0">
      <w:pPr>
        <w:spacing w:after="0" w:line="240" w:lineRule="auto"/>
      </w:pPr>
      <w:r>
        <w:separator/>
      </w:r>
    </w:p>
  </w:footnote>
  <w:footnote w:type="continuationSeparator" w:id="1">
    <w:p w:rsidR="00F328F0" w:rsidRDefault="00F328F0" w:rsidP="00F328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AB02AE"/>
    <w:rsid w:val="00020975"/>
    <w:rsid w:val="000E2581"/>
    <w:rsid w:val="00110B5B"/>
    <w:rsid w:val="00225856"/>
    <w:rsid w:val="002502F3"/>
    <w:rsid w:val="003155FF"/>
    <w:rsid w:val="00484687"/>
    <w:rsid w:val="004E60CD"/>
    <w:rsid w:val="004F4EE1"/>
    <w:rsid w:val="00535A6D"/>
    <w:rsid w:val="00642DD0"/>
    <w:rsid w:val="00723EAC"/>
    <w:rsid w:val="007A1D53"/>
    <w:rsid w:val="00A325F7"/>
    <w:rsid w:val="00AB02AE"/>
    <w:rsid w:val="00AB3441"/>
    <w:rsid w:val="00B174F9"/>
    <w:rsid w:val="00B30992"/>
    <w:rsid w:val="00BA0881"/>
    <w:rsid w:val="00C865FF"/>
    <w:rsid w:val="00CB42D7"/>
    <w:rsid w:val="00CD6847"/>
    <w:rsid w:val="00D20081"/>
    <w:rsid w:val="00D74075"/>
    <w:rsid w:val="00DA75CF"/>
    <w:rsid w:val="00EA469A"/>
    <w:rsid w:val="00F16FE0"/>
    <w:rsid w:val="00F328F0"/>
    <w:rsid w:val="00FA0E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A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5F7"/>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F328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28F0"/>
  </w:style>
  <w:style w:type="paragraph" w:styleId="Piedepgina">
    <w:name w:val="footer"/>
    <w:basedOn w:val="Normal"/>
    <w:link w:val="PiedepginaCar"/>
    <w:uiPriority w:val="99"/>
    <w:unhideWhenUsed/>
    <w:rsid w:val="00F32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8F0"/>
  </w:style>
</w:styles>
</file>

<file path=word/webSettings.xml><?xml version="1.0" encoding="utf-8"?>
<w:webSettings xmlns:r="http://schemas.openxmlformats.org/officeDocument/2006/relationships" xmlns:w="http://schemas.openxmlformats.org/wordprocessingml/2006/main">
  <w:divs>
    <w:div w:id="19024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974</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antonio</cp:lastModifiedBy>
  <cp:revision>28</cp:revision>
  <dcterms:created xsi:type="dcterms:W3CDTF">2016-11-10T18:05:00Z</dcterms:created>
  <dcterms:modified xsi:type="dcterms:W3CDTF">2017-04-03T14:52:00Z</dcterms:modified>
</cp:coreProperties>
</file>