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>
      <w:pPr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CURSO:</w:t>
      </w:r>
      <w:r w:rsidR="00642DD0">
        <w:rPr>
          <w:rFonts w:ascii="Arial Narrow" w:hAnsi="Arial Narrow"/>
        </w:rPr>
        <w:t xml:space="preserve"> 5º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642DD0">
        <w:rPr>
          <w:rFonts w:ascii="Arial Narrow" w:hAnsi="Arial Narrow"/>
        </w:rPr>
        <w:t>Matemáticas</w:t>
      </w:r>
    </w:p>
    <w:p w:rsidR="00D33FF1" w:rsidRDefault="00D33FF1" w:rsidP="00AB02AE">
      <w:pPr>
        <w:rPr>
          <w:rFonts w:ascii="Arial Narrow" w:hAnsi="Arial Narrow"/>
        </w:rPr>
      </w:pPr>
    </w:p>
    <w:p w:rsidR="00355D48" w:rsidRDefault="00355D48" w:rsidP="00AB02AE">
      <w:pPr>
        <w:rPr>
          <w:rFonts w:ascii="Arial Narrow" w:hAnsi="Arial Narrow"/>
        </w:rPr>
      </w:pPr>
    </w:p>
    <w:tbl>
      <w:tblPr>
        <w:tblStyle w:val="Tablaconcuadrcula"/>
        <w:tblW w:w="15722" w:type="dxa"/>
        <w:tblInd w:w="-431" w:type="dxa"/>
        <w:tblLook w:val="04A0"/>
      </w:tblPr>
      <w:tblGrid>
        <w:gridCol w:w="540"/>
        <w:gridCol w:w="652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8"/>
      </w:tblGrid>
      <w:tr w:rsidR="00DA75CF" w:rsidTr="00DA75CF">
        <w:tc>
          <w:tcPr>
            <w:tcW w:w="540" w:type="dxa"/>
            <w:shd w:val="clear" w:color="auto" w:fill="000000" w:themeFill="text1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82" w:type="dxa"/>
            <w:gridSpan w:val="17"/>
            <w:shd w:val="clear" w:color="auto" w:fill="000000" w:themeFill="text1"/>
            <w:vAlign w:val="center"/>
          </w:tcPr>
          <w:p w:rsidR="00DA75CF" w:rsidRPr="007A1D53" w:rsidRDefault="00DA75CF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AF6CD0" w:rsidTr="008663FF">
        <w:tc>
          <w:tcPr>
            <w:tcW w:w="70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F6CD0" w:rsidRPr="00F16FE0" w:rsidRDefault="00AF6CD0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8662" w:type="dxa"/>
            <w:gridSpan w:val="16"/>
            <w:shd w:val="clear" w:color="auto" w:fill="D9D9D9" w:themeFill="background1" w:themeFillShade="D9"/>
          </w:tcPr>
          <w:p w:rsidR="00AF6CD0" w:rsidRPr="00F16FE0" w:rsidRDefault="00AF6CD0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DA75CF" w:rsidTr="00FA2FDD">
        <w:tc>
          <w:tcPr>
            <w:tcW w:w="7060" w:type="dxa"/>
            <w:gridSpan w:val="2"/>
            <w:vMerge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FA2F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48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MAT.3.1.1.En un contexto de resolución de problemas sencillos, anticipa una solución razonable y busca los procedimientos matemáticos adecuados para abordar el proceso de resolución. (CMCT, CCL, CAA).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MAT.3.1.2.Valora las diferentes estrategias y persevera en la búsqueda de datos y soluciones precisas, tanto en la formulación como en la resolución de un problema. (CMCT, CAA, SIEP).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MAT.3.1.3.Expresa de forma ordenada y clara, oralmente y por escrito, el proceso seguido en la resolución de problemas. (CMCT, CCL).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desarrollado.(CMCT,CAA,SIEP).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MAT.3.2.2. Elabora informes detallando el proceso de investigación, valorando resultados y conclusiones, utilizando medios tecnológicos para la búsqueda de información, registro de datos y elaboración de documentos en el proceso. (CMCT, CAA, SIEP).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MAT.3.3.1.Desarrolla actitudes personales inherentes al quehacer matemático, planteando la resolución de retos y problemas con precisión, esmero e interés. (CMCT, SIEP).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MAT.3.3.2.Reflexiona sobre los procesos, decisiones tomadas y resultados obtenidos, transfiriendo lo aprendiendo a situaciones similares futuras, superando los bloqueos e inseguridades ante la resolución de situaciones desconocidas. (CMCT, CAA, CSYC, SIEP).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MAT.3.4.1.Lee y escribe números naturales, enteros y decimales hasta las centésimas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MAT.3.4.2.Lee y escribe fracciones sencillas.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MAT.3.4.3.Descompone, compone y redondea números naturales y decimales, interpretando el valor de posición de cada una de sus cifras.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MAT.3.4.4.Ordena números naturales, enteros, decimales y fracciones básicas por comparación, representación en la recta numérica y transformación de unos en otros. (CMCT).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rPr>
          <w:trHeight w:val="345"/>
        </w:trPr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MAT.3.5.1.Realiza cálculos mentales con las cuatro operaciones utilizando diferentes estrategias personales y académicas, teniendo en cuenta la jerarquía de las operaciones. (CMCT).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rPr>
          <w:trHeight w:val="195"/>
        </w:trPr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MAT.3.5.2.Utiliza diferentes estrategias de estimación del resultado de una operación sencilla. (CMCT, CAA). </w:t>
            </w:r>
          </w:p>
        </w:tc>
        <w:tc>
          <w:tcPr>
            <w:tcW w:w="540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MAT.3.5.3.Suma, resta, multiplica y divide números naturales y decimales con el algoritmo, en comprobación de resultados, en contextos de resolución de problemas y en situaciones cotidianas.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MAT.3.5.4.Utiliza la calculadora con criterio y autonomía para ensayar, investigar y resolver problemas. (CMCT, CAA, CD).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MAT.3.5.5.Decide según la naturaleza del cálculo, el procedimiento a utilizar (mental, algorítmico, tanteo, estimación, calculadora), explicando con claridad el proceso seguido.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MAT.3.6.1. Utiliza los porcentajes para expresar partes, Identifica e interpreta datos y mensajes de textos numéricos sencillos de la vida cotidiana (facturas, folletos publicitarios, rebajas, repartos…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33FF1" w:rsidRDefault="00DA75CF" w:rsidP="00D33FF1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MAT.3.6.2. Realiza cálculos sencillos con fracciones básicas y porcentajes (cálculo del porcentaje de un número y su equivalente en fracciones). (CMCT). </w:t>
            </w:r>
          </w:p>
          <w:p w:rsidR="00BF458D" w:rsidRPr="00F16FE0" w:rsidRDefault="00BF458D" w:rsidP="00D33FF1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642DD0">
        <w:tc>
          <w:tcPr>
            <w:tcW w:w="7060" w:type="dxa"/>
            <w:gridSpan w:val="2"/>
            <w:shd w:val="clear" w:color="auto" w:fill="BFBFBF" w:themeFill="background1" w:themeFillShade="BF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b/>
              </w:rPr>
              <w:lastRenderedPageBreak/>
              <w:t>Relación de indicadores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41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41" w:type="dxa"/>
            <w:shd w:val="clear" w:color="auto" w:fill="FFE599" w:themeFill="accent4" w:themeFillTint="66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48" w:type="dxa"/>
            <w:shd w:val="clear" w:color="auto" w:fill="FFE599" w:themeFill="accent4" w:themeFillTint="66"/>
            <w:vAlign w:val="center"/>
          </w:tcPr>
          <w:p w:rsidR="00DA75CF" w:rsidRPr="00CD6847" w:rsidRDefault="00DA75CF" w:rsidP="00DA75CF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 xml:space="preserve">Nota media </w:t>
            </w: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MAT.3.6.3. Realiza equivalencias de las redes numéricas básicas (1/2, 0,5, 50%, la mitad) para resolver problemas.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MAT.3.6.4. Aplica las equivalencias numéricas entre fracciones, decimales y porcentajes para intercambiar y comunicar mensajes.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MAT.3.6.5. Resuelve problemas de la vida cotidiana utilizando porcentajes y regla de tres en situaciones de proporcionalidad directa, explicando oralmente y por escrito el significado de los datos, la situación planteada, el proceso seguido y las soluciones obtenidas. (CMCT, CAA).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MAT.3.7.1.Efectúa estimaciones previas a medidas de longitud, superficie, peso, masa, capacidad, volumen y tiempo en contextos reales, explicando el proceso seguido oralmente y por escrito. (CMCT, CCL).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MAT.3.7.2.Selecciona instrumentos y unidades de medida usuales para realizar mediciones, expresando con precisión medidas de longitud, superficie, peso, masa, capacidad, volumen y tiempo en contextos reales, explicando el proceso seguido oralmente y por escrito.(CMCT,CAA,CCL).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MAT.3.8.1.Opera con diferentes medidas en situaciones del contexto real.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MAT.3.9.1.Conoce el sistema sexagesimal.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MAT.3.9.2.Realiza cálculos con medidas angulares explicando oralmente y por escrito el proceso seguido y la estrategia utilizada. (CMCT</w:t>
            </w:r>
            <w:proofErr w:type="gramStart"/>
            <w:r w:rsidRPr="00F16FE0">
              <w:rPr>
                <w:rFonts w:ascii="Arial Narrow" w:hAnsi="Arial Narrow"/>
                <w:sz w:val="16"/>
                <w:szCs w:val="16"/>
              </w:rPr>
              <w:t>,CCL</w:t>
            </w:r>
            <w:proofErr w:type="gramEnd"/>
            <w:r w:rsidRPr="00F16FE0">
              <w:rPr>
                <w:rFonts w:ascii="Arial Narrow" w:hAnsi="Arial Narrow"/>
                <w:sz w:val="16"/>
                <w:szCs w:val="16"/>
              </w:rPr>
              <w:t xml:space="preserve">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MAT.3.10.1.Interpreta y describe representaciones espaciales de la vida cotidiana (croquis, planos, maquetas…) utilizando las nociones geométricas básicas (situación, movimiento, paralelismo, perpendicularidad, escala, simetría, perímetro y superficie). (CMCT, CCL).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MAT.3.10.2.Elabora representaciones espaciales de la vida cotidiana (croquis, planos, maquetas…) utilizando las nociones geométricas básicas (situación, movimiento, paralelismo, perpendicularidad, escala, simetría, perímetro y superficie). (CMCT, SIEP).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MAT.3.11.1.Conoce y describe las figuras planas: cuadrado, rectángulo, romboide, triángulo, trapecio, rombo y círculo relacionándolas con elementos del contexto real. (CMCT, CCL, CEC).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MAT.3.11.2.Clasifica según diversos criterios las figuras planas: cuadrado, rectángulo, romboide, triángulo, trapecio, rombo y círculo relacionándolas con elementos del contexto real</w:t>
            </w:r>
            <w:proofErr w:type="gramStart"/>
            <w:r w:rsidRPr="00F16FE0">
              <w:rPr>
                <w:rFonts w:ascii="Arial Narrow" w:hAnsi="Arial Narrow"/>
                <w:sz w:val="16"/>
                <w:szCs w:val="16"/>
              </w:rPr>
              <w:t>.(</w:t>
            </w:r>
            <w:proofErr w:type="gramEnd"/>
            <w:r w:rsidRPr="00F16FE0">
              <w:rPr>
                <w:rFonts w:ascii="Arial Narrow" w:hAnsi="Arial Narrow"/>
                <w:sz w:val="16"/>
                <w:szCs w:val="16"/>
              </w:rPr>
              <w:t xml:space="preserve">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MAT.3.11.3.Reproduce las figuras planas: cuadrado, rectángulo, romboide, triángulo, trapecio, rombo y círculo relacionándolas con elementos del contexto real. (CMCT, CEC).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MAT.3.12.1.Conoce los poliedros, prismas, pirámides, conos, cilindros y esferas, sus elementos y características.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MAT.3.12.2. Clasifica los poliedros, prismas, pirámides, conos, cilindros y esferas según sus elementos y características.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MAT.3.13.1.Comprende el método de cálculo del perímetro y el área de paralelogramos, triángulos, trapecios y rombos.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MAT.3.13.2.Calcula el perímetro y el área de paralelogramos, triángulos, trapecios y rombos en situaciones de la vida cotidiana.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MAT.3.14.1.Lee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 (CMCT, CCL, CD).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MAT.3.14.2.Registra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escrito. (CMCT</w:t>
            </w:r>
            <w:proofErr w:type="gramStart"/>
            <w:r w:rsidRPr="00F16FE0">
              <w:rPr>
                <w:rFonts w:ascii="Arial Narrow" w:hAnsi="Arial Narrow"/>
                <w:sz w:val="16"/>
                <w:szCs w:val="16"/>
              </w:rPr>
              <w:t>,CCL,CD</w:t>
            </w:r>
            <w:proofErr w:type="gramEnd"/>
            <w:r w:rsidRPr="00F16FE0">
              <w:rPr>
                <w:rFonts w:ascii="Arial Narrow" w:hAnsi="Arial Narrow"/>
                <w:sz w:val="16"/>
                <w:szCs w:val="16"/>
              </w:rPr>
              <w:t xml:space="preserve">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 xml:space="preserve">MAT.3.15.1.Observa y constata, en situaciones de la vida cotidiana, que hay sucesos imposibles, sucesos que con casi toda seguridad se producen, o que se repiten, siendo más o menos probable esta repetición. (CMCT).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A75CF" w:rsidTr="00B30992">
        <w:tc>
          <w:tcPr>
            <w:tcW w:w="7060" w:type="dxa"/>
            <w:gridSpan w:val="2"/>
            <w:vAlign w:val="center"/>
          </w:tcPr>
          <w:p w:rsidR="00DA75CF" w:rsidRPr="00F16FE0" w:rsidRDefault="00DA75CF" w:rsidP="00DA75CF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6FE0">
              <w:rPr>
                <w:rFonts w:ascii="Arial Narrow" w:hAnsi="Arial Narrow"/>
                <w:sz w:val="16"/>
                <w:szCs w:val="16"/>
              </w:rPr>
              <w:t>MAT.3.15.2. Hace estimaciones basadas en la experiencia sobre el resultado (posible, imposible, seguro, más o menos probable) de situaciones en las que intervenga el azar y comprobar dicho resultado</w:t>
            </w:r>
            <w:proofErr w:type="gramStart"/>
            <w:r w:rsidRPr="00F16FE0">
              <w:rPr>
                <w:rFonts w:ascii="Arial Narrow" w:hAnsi="Arial Narrow"/>
                <w:sz w:val="16"/>
                <w:szCs w:val="16"/>
              </w:rPr>
              <w:t>.(</w:t>
            </w:r>
            <w:proofErr w:type="gramEnd"/>
            <w:r w:rsidRPr="00F16FE0">
              <w:rPr>
                <w:rFonts w:ascii="Arial Narrow" w:hAnsi="Arial Narrow"/>
                <w:sz w:val="16"/>
                <w:szCs w:val="16"/>
              </w:rPr>
              <w:t xml:space="preserve">CMCT,SIEP).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vAlign w:val="center"/>
          </w:tcPr>
          <w:p w:rsidR="00DA75CF" w:rsidRDefault="00DA75CF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A75CF" w:rsidRDefault="00DA75CF" w:rsidP="00DA75CF">
            <w:pPr>
              <w:jc w:val="center"/>
              <w:rPr>
                <w:rFonts w:ascii="Arial Narrow" w:hAnsi="Arial Narrow"/>
              </w:rPr>
            </w:pPr>
          </w:p>
        </w:tc>
      </w:tr>
      <w:tr w:rsidR="00D33FF1" w:rsidTr="00D33FF1">
        <w:tc>
          <w:tcPr>
            <w:tcW w:w="7060" w:type="dxa"/>
            <w:gridSpan w:val="2"/>
            <w:shd w:val="clear" w:color="auto" w:fill="FFE599" w:themeFill="accent4" w:themeFillTint="66"/>
            <w:vAlign w:val="center"/>
          </w:tcPr>
          <w:p w:rsidR="00D33FF1" w:rsidRPr="00D33FF1" w:rsidRDefault="00D33FF1" w:rsidP="006903C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33FF1">
              <w:rPr>
                <w:rFonts w:ascii="Arial Narrow" w:hAnsi="Arial Narrow"/>
                <w:b/>
                <w:sz w:val="24"/>
              </w:rPr>
              <w:t xml:space="preserve">Nota media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33FF1" w:rsidRDefault="00D33FF1" w:rsidP="00B309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D33FF1" w:rsidRDefault="00D33FF1" w:rsidP="00DA75C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A75CF" w:rsidRPr="00AB02AE" w:rsidRDefault="00DA75CF" w:rsidP="00355D48">
      <w:pPr>
        <w:rPr>
          <w:rFonts w:ascii="Arial Narrow" w:hAnsi="Arial Narrow"/>
        </w:rPr>
      </w:pPr>
    </w:p>
    <w:sectPr w:rsidR="00DA75CF" w:rsidRPr="00AB02AE" w:rsidSect="00355D48">
      <w:footerReference w:type="default" r:id="rId6"/>
      <w:pgSz w:w="16838" w:h="11906" w:orient="landscape"/>
      <w:pgMar w:top="1134" w:right="962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F0" w:rsidRDefault="00F328F0" w:rsidP="00F328F0">
      <w:pPr>
        <w:spacing w:after="0" w:line="240" w:lineRule="auto"/>
      </w:pPr>
      <w:r>
        <w:separator/>
      </w:r>
    </w:p>
  </w:endnote>
  <w:end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F0" w:rsidRPr="00F328F0" w:rsidRDefault="00F328F0">
    <w:pPr>
      <w:pStyle w:val="Piedepgina"/>
      <w:rPr>
        <w:rFonts w:ascii="Arial Narrow" w:hAnsi="Arial Narrow"/>
      </w:rPr>
    </w:pPr>
    <w:r>
      <w:rPr>
        <w:rFonts w:ascii="Arial Narrow" w:hAnsi="Arial Narrow"/>
      </w:rPr>
      <w:t xml:space="preserve">Observaciones: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F0" w:rsidRDefault="00F328F0" w:rsidP="00F328F0">
      <w:pPr>
        <w:spacing w:after="0" w:line="240" w:lineRule="auto"/>
      </w:pPr>
      <w:r>
        <w:separator/>
      </w:r>
    </w:p>
  </w:footnote>
  <w:footnote w:type="continuationSeparator" w:id="1">
    <w:p w:rsidR="00F328F0" w:rsidRDefault="00F328F0" w:rsidP="00F3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110B5B"/>
    <w:rsid w:val="00355D48"/>
    <w:rsid w:val="00484687"/>
    <w:rsid w:val="00642DD0"/>
    <w:rsid w:val="007A1D53"/>
    <w:rsid w:val="00850A66"/>
    <w:rsid w:val="00986A7B"/>
    <w:rsid w:val="00A325F7"/>
    <w:rsid w:val="00AB02AE"/>
    <w:rsid w:val="00AB3441"/>
    <w:rsid w:val="00AF6CD0"/>
    <w:rsid w:val="00B174F9"/>
    <w:rsid w:val="00B30992"/>
    <w:rsid w:val="00BF458D"/>
    <w:rsid w:val="00CB42D7"/>
    <w:rsid w:val="00CD6847"/>
    <w:rsid w:val="00D20081"/>
    <w:rsid w:val="00D33FF1"/>
    <w:rsid w:val="00D74075"/>
    <w:rsid w:val="00DA75CF"/>
    <w:rsid w:val="00F16FE0"/>
    <w:rsid w:val="00F328F0"/>
    <w:rsid w:val="00FA2FDD"/>
    <w:rsid w:val="00FC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F0"/>
  </w:style>
  <w:style w:type="paragraph" w:styleId="Piedepgina">
    <w:name w:val="footer"/>
    <w:basedOn w:val="Normal"/>
    <w:link w:val="PiedepginaCar"/>
    <w:uiPriority w:val="99"/>
    <w:unhideWhenUsed/>
    <w:rsid w:val="00F3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19</cp:revision>
  <dcterms:created xsi:type="dcterms:W3CDTF">2016-11-10T18:05:00Z</dcterms:created>
  <dcterms:modified xsi:type="dcterms:W3CDTF">2017-04-24T13:38:00Z</dcterms:modified>
</cp:coreProperties>
</file>