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P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361A2A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de noviembre de 2016.</w:t>
      </w:r>
    </w:p>
    <w:p w:rsidR="004504BB" w:rsidRDefault="004504BB" w:rsidP="0045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Hidalgo Gessa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Isabel cabeza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Conde terraza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Aroa Almendáriz Valenciano</w:t>
      </w:r>
    </w:p>
    <w:p w:rsidR="004504BB" w:rsidRPr="004504BB" w:rsidRDefault="008873B4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T</w:t>
      </w:r>
      <w:bookmarkStart w:id="0" w:name="_GoBack"/>
      <w:bookmarkEnd w:id="0"/>
      <w:r w:rsidR="004504BB" w:rsidRPr="004504BB">
        <w:rPr>
          <w:rFonts w:ascii="Times New Roman" w:hAnsi="Times New Roman" w:cs="Times New Roman"/>
          <w:sz w:val="24"/>
          <w:szCs w:val="24"/>
        </w:rPr>
        <w:t>eresa magaña Cabra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504BB" w:rsidRPr="004504BB" w:rsidRDefault="004504BB" w:rsidP="004504B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    En Bollullos de la Mitación, sien</w:t>
      </w:r>
      <w:r w:rsidR="00361A2A">
        <w:rPr>
          <w:rFonts w:ascii="Times New Roman" w:hAnsi="Times New Roman" w:cs="Times New Roman"/>
          <w:kern w:val="28"/>
          <w:sz w:val="24"/>
          <w:lang w:val="es-ES_tradnl"/>
        </w:rPr>
        <w:t xml:space="preserve">do las 14.00 horas del día 16 de noviembre 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>de 20</w:t>
      </w:r>
      <w:r>
        <w:rPr>
          <w:rFonts w:ascii="Times New Roman" w:hAnsi="Times New Roman" w:cs="Times New Roman"/>
          <w:kern w:val="28"/>
          <w:sz w:val="24"/>
          <w:lang w:val="es-ES_tradnl"/>
        </w:rPr>
        <w:t>16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el C.E.I.P. Beatriz Galindo los miembros </w:t>
      </w:r>
      <w:r>
        <w:rPr>
          <w:rFonts w:ascii="Times New Roman" w:hAnsi="Times New Roman" w:cs="Times New Roman"/>
          <w:kern w:val="28"/>
          <w:sz w:val="24"/>
          <w:lang w:val="es-ES_tradnl"/>
        </w:rPr>
        <w:t>del grupo de trabajo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con el siguiente Orden del Día:</w:t>
      </w: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</w:p>
    <w:p w:rsidR="003A3949" w:rsidRDefault="004504BB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1.- </w:t>
      </w:r>
      <w:r w:rsidR="003A3949">
        <w:rPr>
          <w:rFonts w:ascii="NewsGotT" w:hAnsi="NewsGotT"/>
          <w:kern w:val="28"/>
          <w:sz w:val="24"/>
          <w:lang w:val="es-ES_tradnl"/>
        </w:rPr>
        <w:t>Modificar el proyecto del grupo trabajo, concretando mucho más los objetivos de logro, actuaciones y la evaluación.</w:t>
      </w:r>
    </w:p>
    <w:p w:rsidR="003A3949" w:rsidRDefault="003A3949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</w:p>
    <w:p w:rsidR="00E30EEE" w:rsidRDefault="003A3949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Tras revisar el proyecto inicial, hemos concretado los </w:t>
      </w:r>
      <w:r w:rsidR="002C365E">
        <w:rPr>
          <w:rFonts w:ascii="NewsGotT" w:hAnsi="NewsGotT"/>
          <w:kern w:val="28"/>
          <w:sz w:val="24"/>
          <w:lang w:val="es-ES_tradnl"/>
        </w:rPr>
        <w:t>objetivos, corregido las repercusiones en el aula y detallado las actuaciones.</w:t>
      </w:r>
    </w:p>
    <w:p w:rsidR="002C365E" w:rsidRDefault="002C365E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>La reunión ha concluido a las 14:45.</w:t>
      </w: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4504BB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122160"/>
    <w:rsid w:val="002C365E"/>
    <w:rsid w:val="00361A2A"/>
    <w:rsid w:val="003A3949"/>
    <w:rsid w:val="003C5143"/>
    <w:rsid w:val="004504BB"/>
    <w:rsid w:val="008873B4"/>
    <w:rsid w:val="00E30EEE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13</cp:revision>
  <dcterms:created xsi:type="dcterms:W3CDTF">2016-11-01T18:59:00Z</dcterms:created>
  <dcterms:modified xsi:type="dcterms:W3CDTF">2017-05-18T15:07:00Z</dcterms:modified>
</cp:coreProperties>
</file>