
<file path=[Content_Types].xml><?xml version="1.0" encoding="utf-8"?>
<Types xmlns="http://schemas.openxmlformats.org/package/2006/content-types">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color w:val="595959" w:themeColor="text1" w:themeTint="a6"/>
          <w:sz w:val="28"/>
          <w:szCs w:val="28"/>
        </w:rPr>
      </w:pPr>
      <w:r>
        <w:rPr>
          <w:rFonts w:cs="Arial" w:ascii="Arial" w:hAnsi="Arial"/>
          <w:b/>
          <w:color w:val="595959" w:themeColor="text1" w:themeTint="a6"/>
          <w:sz w:val="28"/>
          <w:szCs w:val="28"/>
        </w:rPr>
        <w:t xml:space="preserve">Unidad 6 </w:t>
      </w:r>
      <w:r>
        <w:rPr>
          <w:rFonts w:cs="Arial" w:ascii="Arial" w:hAnsi="Arial"/>
          <w:color w:val="595959" w:themeColor="text1" w:themeTint="a6"/>
          <w:sz w:val="28"/>
          <w:szCs w:val="28"/>
        </w:rPr>
        <w:t>Reacciones químicas</w:t>
      </w:r>
    </w:p>
    <w:tbl>
      <w:tblPr>
        <w:tblStyle w:val="Tablaconcuadrcula"/>
        <w:tblW w:w="5919" w:type="dxa"/>
        <w:jc w:val="center"/>
        <w:tblInd w:w="0" w:type="dxa"/>
        <w:tblCellMar>
          <w:top w:w="0" w:type="dxa"/>
          <w:left w:w="108" w:type="dxa"/>
          <w:bottom w:w="0" w:type="dxa"/>
          <w:right w:w="108" w:type="dxa"/>
        </w:tblCellMar>
        <w:tblLook w:lastRow="0" w:firstRow="1" w:val="04a0" w:noVBand="1" w:firstColumn="1" w:noHBand="0" w:lastColumn="0"/>
      </w:tblPr>
      <w:tblGrid>
        <w:gridCol w:w="5919"/>
      </w:tblGrid>
      <w:tr>
        <w:trPr>
          <w:trHeight w:val="277" w:hRule="atLeast"/>
        </w:trPr>
        <w:tc>
          <w:tcPr>
            <w:tcW w:w="5919" w:type="dxa"/>
            <w:tcBorders/>
            <w:shd w:color="auto" w:fill="BFBFBF" w:themeFill="background1" w:themeFillShade="bf" w:val="clear"/>
            <w:tcMar>
              <w:left w:w="108" w:type="dxa"/>
            </w:tcMar>
          </w:tcPr>
          <w:p>
            <w:pPr>
              <w:pStyle w:val="Normal"/>
              <w:spacing w:lineRule="auto" w:line="240" w:before="0" w:after="0"/>
              <w:jc w:val="center"/>
              <w:rPr>
                <w:rFonts w:ascii="Arial" w:hAnsi="Arial" w:cs="Arial"/>
                <w:b/>
                <w:b/>
                <w:color w:val="FFFFFF" w:themeColor="background1"/>
                <w:sz w:val="24"/>
                <w:szCs w:val="24"/>
              </w:rPr>
            </w:pPr>
            <w:r>
              <w:rPr>
                <w:rFonts w:cs="Arial" w:ascii="Arial" w:hAnsi="Arial"/>
                <w:b/>
                <w:color w:val="FFFFFF" w:themeColor="background1"/>
                <w:sz w:val="24"/>
                <w:szCs w:val="24"/>
              </w:rPr>
              <w:t>OBJETIVOS DE UNIDAD</w:t>
            </w:r>
          </w:p>
        </w:tc>
      </w:tr>
      <w:tr>
        <w:trPr>
          <w:trHeight w:val="3247" w:hRule="atLeast"/>
        </w:trPr>
        <w:tc>
          <w:tcPr>
            <w:tcW w:w="5919" w:type="dxa"/>
            <w:tcBorders/>
            <w:shd w:fill="auto" w:val="clear"/>
            <w:tcMar>
              <w:left w:w="108" w:type="dxa"/>
            </w:tcMar>
          </w:tcPr>
          <w:p>
            <w:pPr>
              <w:pStyle w:val="ListParagraph"/>
              <w:numPr>
                <w:ilvl w:val="0"/>
                <w:numId w:val="1"/>
              </w:numPr>
              <w:spacing w:lineRule="auto" w:line="276" w:before="0" w:after="0"/>
              <w:contextualSpacing/>
              <w:rPr>
                <w:rFonts w:ascii="Arial" w:hAnsi="Arial" w:cs="Arial"/>
                <w:sz w:val="20"/>
                <w:szCs w:val="20"/>
              </w:rPr>
            </w:pPr>
            <w:r>
              <w:rPr>
                <w:rFonts w:cs="Arial" w:ascii="Arial" w:hAnsi="Arial"/>
                <w:sz w:val="20"/>
                <w:szCs w:val="20"/>
              </w:rPr>
              <w:t>Identificar los cambios químicos y diferenciarlos de los cambios físicos.</w:t>
            </w:r>
          </w:p>
          <w:p>
            <w:pPr>
              <w:pStyle w:val="ListParagraph"/>
              <w:numPr>
                <w:ilvl w:val="0"/>
                <w:numId w:val="1"/>
              </w:numPr>
              <w:spacing w:lineRule="auto" w:line="276" w:before="0" w:after="0"/>
              <w:contextualSpacing/>
              <w:rPr>
                <w:rFonts w:ascii="Arial" w:hAnsi="Arial" w:cs="Arial"/>
                <w:sz w:val="20"/>
                <w:szCs w:val="20"/>
              </w:rPr>
            </w:pPr>
            <w:r>
              <w:rPr>
                <w:rFonts w:cs="Arial" w:ascii="Arial" w:hAnsi="Arial"/>
                <w:sz w:val="20"/>
                <w:szCs w:val="20"/>
              </w:rPr>
              <w:t>Describir y entender lo que sucede en una reacción química.</w:t>
            </w:r>
          </w:p>
          <w:p>
            <w:pPr>
              <w:pStyle w:val="ListParagraph"/>
              <w:numPr>
                <w:ilvl w:val="0"/>
                <w:numId w:val="1"/>
              </w:numPr>
              <w:spacing w:lineRule="auto" w:line="276" w:before="0" w:after="0"/>
              <w:contextualSpacing/>
              <w:rPr>
                <w:rFonts w:ascii="Arial" w:hAnsi="Arial" w:cs="Arial"/>
                <w:sz w:val="20"/>
                <w:szCs w:val="20"/>
              </w:rPr>
            </w:pPr>
            <w:r>
              <w:rPr>
                <w:rFonts w:cs="Arial" w:ascii="Arial" w:hAnsi="Arial"/>
                <w:sz w:val="20"/>
                <w:szCs w:val="20"/>
              </w:rPr>
              <w:t>Conocer las propiedades de las reacciones químicas y explicar la conservación de la masa.</w:t>
            </w:r>
          </w:p>
          <w:p>
            <w:pPr>
              <w:pStyle w:val="ListParagraph"/>
              <w:numPr>
                <w:ilvl w:val="0"/>
                <w:numId w:val="1"/>
              </w:numPr>
              <w:spacing w:lineRule="auto" w:line="276" w:before="0" w:after="0"/>
              <w:contextualSpacing/>
              <w:rPr>
                <w:rFonts w:ascii="Arial" w:hAnsi="Arial" w:cs="Arial"/>
                <w:sz w:val="20"/>
                <w:szCs w:val="20"/>
              </w:rPr>
            </w:pPr>
            <w:r>
              <w:rPr>
                <w:rFonts w:cs="Arial" w:ascii="Arial" w:hAnsi="Arial"/>
                <w:sz w:val="20"/>
                <w:szCs w:val="20"/>
              </w:rPr>
              <w:t>Realizar cálculos estequiométricos e interpretar el significado de una reacción química ajustada.</w:t>
            </w:r>
          </w:p>
          <w:p>
            <w:pPr>
              <w:pStyle w:val="ListParagraph"/>
              <w:numPr>
                <w:ilvl w:val="0"/>
                <w:numId w:val="1"/>
              </w:numPr>
              <w:spacing w:lineRule="auto" w:line="276" w:before="0" w:after="0"/>
              <w:contextualSpacing/>
              <w:rPr>
                <w:rFonts w:ascii="Arial" w:hAnsi="Arial" w:cs="Arial"/>
                <w:sz w:val="20"/>
                <w:szCs w:val="20"/>
              </w:rPr>
            </w:pPr>
            <w:r>
              <w:rPr>
                <w:rFonts w:cs="Arial" w:ascii="Arial" w:hAnsi="Arial"/>
                <w:sz w:val="20"/>
                <w:szCs w:val="20"/>
              </w:rPr>
              <w:t>Diferenciar entre reacciones exotérmicas y endotérmicas.</w:t>
            </w:r>
          </w:p>
          <w:p>
            <w:pPr>
              <w:pStyle w:val="ListParagraph"/>
              <w:numPr>
                <w:ilvl w:val="0"/>
                <w:numId w:val="1"/>
              </w:numPr>
              <w:spacing w:lineRule="auto" w:line="276" w:before="0" w:after="0"/>
              <w:contextualSpacing/>
              <w:rPr>
                <w:rFonts w:ascii="Arial" w:hAnsi="Arial" w:cs="Arial"/>
                <w:sz w:val="20"/>
                <w:szCs w:val="20"/>
              </w:rPr>
            </w:pPr>
            <w:r>
              <w:rPr>
                <w:rFonts w:cs="Arial" w:ascii="Arial" w:hAnsi="Arial"/>
                <w:sz w:val="20"/>
                <w:szCs w:val="20"/>
              </w:rPr>
              <w:t>Identificar los factores que influyen en la velocidad de reacción.</w:t>
            </w:r>
          </w:p>
        </w:tc>
      </w:tr>
    </w:tbl>
    <w:p>
      <w:pPr>
        <w:pStyle w:val="Normal"/>
        <w:spacing w:before="0" w:after="0"/>
        <w:rPr>
          <w:rFonts w:ascii="UnitOT-Light" w:hAnsi="UnitOT-Light"/>
          <w:sz w:val="20"/>
          <w:szCs w:val="20"/>
        </w:rPr>
      </w:pPr>
      <w:r>
        <w:rPr>
          <w:rFonts w:ascii="UnitOT-Light" w:hAnsi="UnitOT-Light"/>
          <w:sz w:val="20"/>
          <w:szCs w:val="20"/>
        </w:rPr>
      </w:r>
    </w:p>
    <w:tbl>
      <w:tblPr>
        <w:tblStyle w:val="Tablaconcuadrcula"/>
        <w:tblW w:w="10762" w:type="dxa"/>
        <w:jc w:val="left"/>
        <w:tblInd w:w="0" w:type="dxa"/>
        <w:tblCellMar>
          <w:top w:w="0" w:type="dxa"/>
          <w:left w:w="107" w:type="dxa"/>
          <w:bottom w:w="0" w:type="dxa"/>
          <w:right w:w="108" w:type="dxa"/>
        </w:tblCellMar>
        <w:tblLook w:lastRow="0" w:firstRow="1" w:val="04a0" w:noVBand="1" w:firstColumn="1" w:noHBand="0" w:lastColumn="0"/>
      </w:tblPr>
      <w:tblGrid>
        <w:gridCol w:w="1231"/>
        <w:gridCol w:w="2162"/>
        <w:gridCol w:w="2244"/>
        <w:gridCol w:w="2551"/>
        <w:gridCol w:w="2574"/>
      </w:tblGrid>
      <w:tr>
        <w:trPr/>
        <w:tc>
          <w:tcPr>
            <w:tcW w:w="1231" w:type="dxa"/>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color="auto" w:fill="BFBFBF" w:themeFill="background1" w:themeFillShade="bf" w:val="clear"/>
            <w:tcMar>
              <w:left w:w="107" w:type="dxa"/>
            </w:tcMar>
            <w:vAlign w:val="center"/>
          </w:tcPr>
          <w:p>
            <w:pPr>
              <w:pStyle w:val="Normal"/>
              <w:spacing w:lineRule="auto" w:line="240" w:before="0" w:after="0"/>
              <w:jc w:val="center"/>
              <w:rPr>
                <w:rFonts w:ascii="Arial" w:hAnsi="Arial" w:cs="Arial"/>
                <w:b/>
                <w:b/>
                <w:color w:val="FFFFFF" w:themeColor="background1"/>
                <w:sz w:val="20"/>
                <w:szCs w:val="20"/>
              </w:rPr>
            </w:pPr>
            <w:r>
              <w:rPr>
                <w:rFonts w:cs="Arial" w:ascii="Arial" w:hAnsi="Arial"/>
                <w:b/>
                <w:color w:val="FFFFFF" w:themeColor="background1"/>
                <w:sz w:val="20"/>
                <w:szCs w:val="20"/>
              </w:rPr>
              <w:t>BLOQUE</w:t>
            </w:r>
          </w:p>
        </w:tc>
        <w:tc>
          <w:tcPr>
            <w:tcW w:w="2162" w:type="dxa"/>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color="auto" w:fill="BFBFBF" w:themeFill="background1" w:themeFillShade="bf" w:val="clear"/>
            <w:tcMar>
              <w:left w:w="107" w:type="dxa"/>
            </w:tcMar>
            <w:vAlign w:val="center"/>
          </w:tcPr>
          <w:p>
            <w:pPr>
              <w:pStyle w:val="Normal"/>
              <w:spacing w:lineRule="auto" w:line="240" w:before="0" w:after="0"/>
              <w:jc w:val="center"/>
              <w:rPr>
                <w:rFonts w:ascii="Arial" w:hAnsi="Arial" w:cs="Arial"/>
                <w:b/>
                <w:b/>
                <w:color w:val="FFFFFF" w:themeColor="background1"/>
                <w:sz w:val="20"/>
                <w:szCs w:val="20"/>
              </w:rPr>
            </w:pPr>
            <w:r>
              <w:rPr>
                <w:rFonts w:cs="Arial" w:ascii="Arial" w:hAnsi="Arial"/>
                <w:b/>
                <w:color w:val="FFFFFF" w:themeColor="background1"/>
                <w:sz w:val="20"/>
                <w:szCs w:val="20"/>
              </w:rPr>
              <w:t>CONTENIDOS</w:t>
            </w:r>
          </w:p>
        </w:tc>
        <w:tc>
          <w:tcPr>
            <w:tcW w:w="2244" w:type="dxa"/>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color="auto" w:fill="BFBFBF" w:themeFill="background1" w:themeFillShade="bf" w:val="clear"/>
            <w:tcMar>
              <w:left w:w="107" w:type="dxa"/>
            </w:tcMar>
            <w:vAlign w:val="center"/>
          </w:tcPr>
          <w:p>
            <w:pPr>
              <w:pStyle w:val="Normal"/>
              <w:spacing w:lineRule="auto" w:line="240" w:before="0" w:after="0"/>
              <w:jc w:val="center"/>
              <w:rPr>
                <w:rFonts w:ascii="Arial" w:hAnsi="Arial" w:cs="Arial"/>
                <w:b/>
                <w:b/>
                <w:color w:val="FFFFFF" w:themeColor="background1"/>
                <w:sz w:val="20"/>
                <w:szCs w:val="20"/>
              </w:rPr>
            </w:pPr>
            <w:r>
              <w:rPr>
                <w:rFonts w:cs="Arial" w:ascii="Arial" w:hAnsi="Arial"/>
                <w:b/>
                <w:color w:val="FFFFFF" w:themeColor="background1"/>
                <w:sz w:val="20"/>
                <w:szCs w:val="20"/>
              </w:rPr>
              <w:t>CRITERIOS DE EVALUACIÓN</w:t>
            </w:r>
          </w:p>
        </w:tc>
        <w:tc>
          <w:tcPr>
            <w:tcW w:w="2551" w:type="dxa"/>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color="auto" w:fill="BFBFBF" w:themeFill="background1" w:themeFillShade="bf" w:val="clear"/>
            <w:tcMar>
              <w:left w:w="107" w:type="dxa"/>
            </w:tcMar>
            <w:vAlign w:val="center"/>
          </w:tcPr>
          <w:p>
            <w:pPr>
              <w:pStyle w:val="Normal"/>
              <w:spacing w:lineRule="auto" w:line="240" w:before="0" w:after="0"/>
              <w:jc w:val="center"/>
              <w:rPr>
                <w:rFonts w:ascii="Arial" w:hAnsi="Arial" w:cs="Arial"/>
                <w:b/>
                <w:b/>
                <w:color w:val="FFFFFF" w:themeColor="background1"/>
                <w:sz w:val="20"/>
                <w:szCs w:val="20"/>
              </w:rPr>
            </w:pPr>
            <w:r>
              <w:rPr>
                <w:rFonts w:cs="Arial" w:ascii="Arial" w:hAnsi="Arial"/>
                <w:b/>
                <w:color w:val="FFFFFF" w:themeColor="background1"/>
                <w:sz w:val="20"/>
                <w:szCs w:val="20"/>
              </w:rPr>
              <w:t>ESTÁNDARES DE APRENDIZAJE*</w:t>
            </w:r>
          </w:p>
        </w:tc>
        <w:tc>
          <w:tcPr>
            <w:tcW w:w="2574" w:type="dxa"/>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color="auto" w:fill="BFBFBF" w:themeFill="background1" w:themeFillShade="bf" w:val="clear"/>
            <w:tcMar>
              <w:left w:w="107" w:type="dxa"/>
            </w:tcMar>
            <w:vAlign w:val="center"/>
          </w:tcPr>
          <w:p>
            <w:pPr>
              <w:pStyle w:val="Normal"/>
              <w:spacing w:lineRule="auto" w:line="240" w:before="0" w:after="0"/>
              <w:jc w:val="center"/>
              <w:rPr>
                <w:rFonts w:ascii="Arial" w:hAnsi="Arial" w:cs="Arial"/>
                <w:b/>
                <w:b/>
                <w:color w:val="FFFFFF" w:themeColor="background1"/>
                <w:sz w:val="20"/>
                <w:szCs w:val="20"/>
              </w:rPr>
            </w:pPr>
            <w:r>
              <w:rPr>
                <w:rFonts w:cs="Arial" w:ascii="Arial" w:hAnsi="Arial"/>
                <w:b/>
                <w:color w:val="FFFFFF" w:themeColor="background1"/>
                <w:sz w:val="20"/>
                <w:szCs w:val="20"/>
              </w:rPr>
              <w:t>ACTIVIDADES</w:t>
            </w:r>
          </w:p>
        </w:tc>
      </w:tr>
      <w:tr>
        <w:trPr/>
        <w:tc>
          <w:tcPr>
            <w:tcW w:w="1231" w:type="dxa"/>
            <w:vMerge w:val="restart"/>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fill="auto" w:val="clear"/>
            <w:tcMar>
              <w:left w:w="107" w:type="dxa"/>
            </w:tcMar>
            <w:textDirection w:val="btLr"/>
            <w:vAlign w:val="center"/>
          </w:tcPr>
          <w:p>
            <w:pPr>
              <w:pStyle w:val="Normal"/>
              <w:spacing w:lineRule="auto" w:line="240" w:before="0" w:after="0"/>
              <w:ind w:left="113" w:right="113" w:hanging="0"/>
              <w:jc w:val="center"/>
              <w:rPr>
                <w:rFonts w:ascii="Arial" w:hAnsi="Arial" w:cs="Arial"/>
                <w:b/>
                <w:b/>
                <w:sz w:val="20"/>
                <w:szCs w:val="20"/>
              </w:rPr>
            </w:pPr>
            <w:r>
              <w:rPr>
                <w:rFonts w:cs="Arial" w:ascii="Arial" w:hAnsi="Arial"/>
                <w:b/>
                <w:sz w:val="20"/>
                <w:szCs w:val="20"/>
              </w:rPr>
              <w:t>Bloque 3. Los cambios</w:t>
            </w:r>
          </w:p>
        </w:tc>
        <w:tc>
          <w:tcPr>
            <w:tcW w:w="2162" w:type="dxa"/>
            <w:tcBorders>
              <w:top w:val="single" w:sz="12" w:space="0" w:color="808080"/>
              <w:left w:val="single" w:sz="12" w:space="0" w:color="808080"/>
              <w:bottom w:val="nil"/>
              <w:right w:val="single" w:sz="12" w:space="0" w:color="808080"/>
              <w:insideH w:val="nil"/>
              <w:insideV w:val="single" w:sz="12" w:space="0" w:color="808080"/>
            </w:tcBorders>
            <w:shd w:fill="auto" w:val="clear"/>
            <w:tcMar>
              <w:left w:w="107" w:type="dxa"/>
            </w:tcMar>
            <w:vAlign w:val="center"/>
          </w:tcPr>
          <w:p>
            <w:pPr>
              <w:pStyle w:val="Normal"/>
              <w:spacing w:lineRule="auto" w:line="240" w:before="0" w:after="0"/>
              <w:rPr>
                <w:rFonts w:ascii="Arial" w:hAnsi="Arial" w:cs="Arial"/>
                <w:b/>
                <w:b/>
                <w:sz w:val="20"/>
                <w:szCs w:val="20"/>
              </w:rPr>
            </w:pPr>
            <w:r>
              <w:rPr>
                <w:rFonts w:cs="Arial" w:ascii="Arial" w:hAnsi="Arial"/>
                <w:b/>
                <w:sz w:val="20"/>
                <w:szCs w:val="20"/>
              </w:rPr>
              <w:t>Cambios físicos y cambios químicos</w:t>
            </w:r>
          </w:p>
        </w:tc>
        <w:tc>
          <w:tcPr>
            <w:tcW w:w="2244" w:type="dxa"/>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fill="auto" w:val="clear"/>
            <w:tcMar>
              <w:left w:w="107" w:type="dxa"/>
            </w:tcMar>
            <w:vAlign w:val="center"/>
          </w:tcPr>
          <w:p>
            <w:pPr>
              <w:pStyle w:val="ListParagraph"/>
              <w:spacing w:lineRule="auto" w:line="240" w:before="0" w:after="0"/>
              <w:ind w:left="176" w:hanging="0"/>
              <w:contextualSpacing/>
              <w:rPr>
                <w:rFonts w:ascii="Arial" w:hAnsi="Arial" w:cs="Arial"/>
                <w:sz w:val="20"/>
                <w:szCs w:val="20"/>
              </w:rPr>
            </w:pPr>
            <w:r>
              <w:rPr>
                <w:rFonts w:cs="Arial" w:ascii="Arial" w:hAnsi="Arial"/>
                <w:sz w:val="20"/>
                <w:szCs w:val="20"/>
              </w:rPr>
              <w:t xml:space="preserve">* Distinguir entre cambios físicos y químicos mediante la realización de experiencias sencillas que pongan de manifiesto si se forman o no nuevas sustancias. </w:t>
            </w:r>
            <w:r>
              <w:rPr>
                <w:rFonts w:cs="Arial" w:ascii="Arial" w:hAnsi="Arial"/>
                <w:b/>
                <w:sz w:val="20"/>
                <w:szCs w:val="20"/>
              </w:rPr>
              <w:t>(CCL, CMCT, CAA).</w:t>
            </w:r>
          </w:p>
        </w:tc>
        <w:tc>
          <w:tcPr>
            <w:tcW w:w="2551" w:type="dxa"/>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fill="auto" w:val="clear"/>
            <w:tcMar>
              <w:left w:w="107" w:type="dxa"/>
            </w:tcMar>
          </w:tcPr>
          <w:p>
            <w:pPr>
              <w:pStyle w:val="Normal"/>
              <w:spacing w:lineRule="auto" w:line="240" w:before="0" w:after="0"/>
              <w:ind w:left="459" w:hanging="287"/>
              <w:rPr>
                <w:rFonts w:ascii="Arial" w:hAnsi="Arial" w:cs="Arial"/>
                <w:sz w:val="20"/>
                <w:szCs w:val="20"/>
              </w:rPr>
            </w:pPr>
            <w:r>
              <w:rPr>
                <w:rFonts w:cs="Arial" w:ascii="Arial" w:hAnsi="Arial"/>
                <w:sz w:val="20"/>
                <w:szCs w:val="20"/>
              </w:rPr>
              <w:t>*    Distingue entre cambios físicos y químicos en acciones de la vida cotidiana en función de que haya o no formación de nuevas sustancias.</w:t>
            </w:r>
          </w:p>
          <w:p>
            <w:pPr>
              <w:pStyle w:val="Normal"/>
              <w:spacing w:lineRule="auto" w:line="240" w:before="0" w:after="0"/>
              <w:ind w:left="459" w:hanging="459"/>
              <w:rPr>
                <w:rFonts w:ascii="Arial" w:hAnsi="Arial" w:cs="Arial"/>
                <w:sz w:val="20"/>
                <w:szCs w:val="20"/>
              </w:rPr>
            </w:pPr>
            <w:r>
              <w:rPr>
                <w:rFonts w:cs="Arial" w:ascii="Arial" w:hAnsi="Arial"/>
                <w:sz w:val="20"/>
                <w:szCs w:val="20"/>
              </w:rPr>
            </w:r>
          </w:p>
          <w:p>
            <w:pPr>
              <w:pStyle w:val="Normal"/>
              <w:spacing w:lineRule="auto" w:line="240" w:before="0" w:after="0"/>
              <w:ind w:left="459" w:hanging="287"/>
              <w:rPr>
                <w:rFonts w:ascii="Arial" w:hAnsi="Arial" w:cs="Arial"/>
                <w:sz w:val="20"/>
                <w:szCs w:val="20"/>
              </w:rPr>
            </w:pPr>
            <w:r>
              <w:rPr>
                <w:rFonts w:cs="Arial" w:ascii="Arial" w:hAnsi="Arial"/>
                <w:sz w:val="20"/>
                <w:szCs w:val="20"/>
              </w:rPr>
              <w:t>*</w:t>
              <w:tab/>
              <w:t xml:space="preserve">Describe el procedimiento de realización de experimentos sencillos en los que se ponga de manifiesto la formación de nuevas sustancias y reconoce que se trata de cambios químicos. </w:t>
            </w:r>
          </w:p>
          <w:p>
            <w:pPr>
              <w:pStyle w:val="Normal"/>
              <w:spacing w:lineRule="auto" w:line="240" w:before="0" w:after="0"/>
              <w:ind w:left="459" w:hanging="1"/>
              <w:rPr>
                <w:rFonts w:ascii="Arial" w:hAnsi="Arial" w:cs="Arial"/>
                <w:b/>
                <w:b/>
                <w:sz w:val="20"/>
                <w:szCs w:val="20"/>
              </w:rPr>
            </w:pPr>
            <w:r>
              <w:rPr>
                <w:rFonts w:cs="Arial" w:ascii="Arial" w:hAnsi="Arial"/>
                <w:b/>
                <w:sz w:val="20"/>
                <w:szCs w:val="20"/>
              </w:rPr>
            </w:r>
          </w:p>
        </w:tc>
        <w:tc>
          <w:tcPr>
            <w:tcW w:w="2574" w:type="dxa"/>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fill="auto" w:val="clear"/>
            <w:tcMar>
              <w:left w:w="107" w:type="dxa"/>
            </w:tcMar>
            <w:vAlign w:val="center"/>
          </w:tcPr>
          <w:p>
            <w:pPr>
              <w:pStyle w:val="ListParagraph"/>
              <w:numPr>
                <w:ilvl w:val="0"/>
                <w:numId w:val="2"/>
              </w:numPr>
              <w:spacing w:lineRule="auto" w:line="240" w:before="0" w:after="0"/>
              <w:ind w:left="123" w:hanging="123"/>
              <w:contextualSpacing/>
              <w:rPr>
                <w:rFonts w:ascii="Arial" w:hAnsi="Arial" w:cs="Arial"/>
                <w:sz w:val="20"/>
                <w:szCs w:val="20"/>
              </w:rPr>
            </w:pPr>
            <w:r>
              <w:rPr>
                <w:rFonts w:cs="Arial" w:ascii="Arial" w:hAnsi="Arial"/>
                <w:sz w:val="20"/>
                <w:szCs w:val="20"/>
              </w:rPr>
              <w:t>Identifica entre cambios físicos y químicos y realiza experiencias sencillas que pongan de manifiesto si se forman o no nuevas sustancias.</w:t>
            </w:r>
          </w:p>
          <w:p>
            <w:pPr>
              <w:pStyle w:val="ListParagraph"/>
              <w:spacing w:lineRule="auto" w:line="240" w:before="0" w:after="0"/>
              <w:ind w:left="123" w:hanging="0"/>
              <w:contextualSpacing/>
              <w:rPr>
                <w:rFonts w:ascii="Arial" w:hAnsi="Arial" w:cs="Arial"/>
                <w:sz w:val="20"/>
                <w:szCs w:val="20"/>
              </w:rPr>
            </w:pPr>
            <w:r>
              <w:rPr>
                <w:rFonts w:cs="Arial" w:ascii="Arial" w:hAnsi="Arial"/>
                <w:b/>
                <w:sz w:val="20"/>
                <w:szCs w:val="20"/>
              </w:rPr>
              <w:t>Act. 2 y 3, pág. 119. Act. 21 y 22, pág. 130.</w:t>
            </w:r>
          </w:p>
        </w:tc>
      </w:tr>
      <w:tr>
        <w:trPr>
          <w:trHeight w:val="2115" w:hRule="atLeast"/>
        </w:trPr>
        <w:tc>
          <w:tcPr>
            <w:tcW w:w="1231" w:type="dxa"/>
            <w:vMerge w:val="continue"/>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fill="auto" w:val="clear"/>
            <w:tcMar>
              <w:left w:w="107" w:type="dxa"/>
            </w:tcMar>
          </w:tcPr>
          <w:p>
            <w:pPr>
              <w:pStyle w:val="Normal"/>
              <w:spacing w:lineRule="auto" w:line="240" w:before="0" w:after="0"/>
              <w:jc w:val="both"/>
              <w:rPr>
                <w:rFonts w:ascii="Arial" w:hAnsi="Arial" w:cs="Arial"/>
                <w:b/>
                <w:b/>
                <w:sz w:val="20"/>
                <w:szCs w:val="20"/>
              </w:rPr>
            </w:pPr>
            <w:r>
              <w:rPr>
                <w:rFonts w:cs="Arial" w:ascii="Arial" w:hAnsi="Arial"/>
                <w:b/>
                <w:sz w:val="20"/>
                <w:szCs w:val="20"/>
              </w:rPr>
            </w:r>
          </w:p>
        </w:tc>
        <w:tc>
          <w:tcPr>
            <w:tcW w:w="2162" w:type="dxa"/>
            <w:vMerge w:val="restart"/>
            <w:tcBorders>
              <w:top w:val="nil"/>
              <w:left w:val="single" w:sz="12" w:space="0" w:color="808080"/>
              <w:bottom w:val="single" w:sz="12" w:space="0" w:color="808080"/>
              <w:right w:val="single" w:sz="12" w:space="0" w:color="808080"/>
              <w:insideH w:val="single" w:sz="12" w:space="0" w:color="808080"/>
              <w:insideV w:val="single" w:sz="12" w:space="0" w:color="808080"/>
            </w:tcBorders>
            <w:shd w:fill="auto" w:val="clear"/>
            <w:tcMar>
              <w:left w:w="107" w:type="dxa"/>
            </w:tcMar>
            <w:vAlign w:val="center"/>
          </w:tcPr>
          <w:p>
            <w:pPr>
              <w:pStyle w:val="Normal"/>
              <w:spacing w:lineRule="auto" w:line="240" w:before="0" w:after="0"/>
              <w:rPr>
                <w:rFonts w:ascii="Arial" w:hAnsi="Arial" w:cs="Arial"/>
                <w:b/>
                <w:b/>
                <w:color w:val="0070C0"/>
                <w:sz w:val="20"/>
              </w:rPr>
            </w:pPr>
            <w:r>
              <w:rPr>
                <w:rFonts w:cs="Arial" w:ascii="Arial" w:hAnsi="Arial"/>
                <w:b/>
                <w:sz w:val="20"/>
                <w:szCs w:val="20"/>
              </w:rPr>
              <w:t>La reacción química</w:t>
            </w:r>
            <w:r>
              <w:rPr>
                <w:rFonts w:cs="Arial" w:ascii="Arial" w:hAnsi="Arial"/>
                <w:b/>
                <w:color w:val="0070C0"/>
                <w:sz w:val="20"/>
              </w:rPr>
              <w:t xml:space="preserve"> </w:t>
            </w:r>
            <w:r>
              <w:rPr>
                <w:rFonts w:cs="Arial" w:ascii="Arial" w:hAnsi="Arial"/>
                <w:b/>
                <w:sz w:val="20"/>
              </w:rPr>
              <w:t>Cálculos estequiométricos sencillos.</w:t>
            </w:r>
            <w:r>
              <w:rPr>
                <w:rFonts w:cs="Arial" w:ascii="Arial" w:hAnsi="Arial"/>
                <w:b/>
                <w:color w:val="0070C0"/>
                <w:sz w:val="20"/>
              </w:rPr>
              <w:t xml:space="preserve"> </w:t>
            </w:r>
          </w:p>
          <w:p>
            <w:pPr>
              <w:pStyle w:val="Normal"/>
              <w:spacing w:lineRule="auto" w:line="240" w:before="0" w:after="0"/>
              <w:rPr>
                <w:rFonts w:ascii="Arial" w:hAnsi="Arial" w:cs="Arial"/>
                <w:sz w:val="20"/>
                <w:szCs w:val="20"/>
              </w:rPr>
            </w:pPr>
            <w:r>
              <w:rPr>
                <w:rFonts w:cs="Arial" w:ascii="Arial" w:hAnsi="Arial"/>
                <w:sz w:val="20"/>
                <w:szCs w:val="20"/>
              </w:rPr>
            </w:r>
          </w:p>
        </w:tc>
        <w:tc>
          <w:tcPr>
            <w:tcW w:w="2244" w:type="dxa"/>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fill="auto" w:val="clear"/>
            <w:tcMar>
              <w:left w:w="107" w:type="dxa"/>
            </w:tcMar>
            <w:vAlign w:val="center"/>
          </w:tcPr>
          <w:p>
            <w:pPr>
              <w:pStyle w:val="Normal"/>
              <w:spacing w:lineRule="auto" w:line="240" w:before="0" w:after="0"/>
              <w:rPr>
                <w:rFonts w:ascii="Arial" w:hAnsi="Arial" w:cs="Arial"/>
                <w:sz w:val="20"/>
                <w:szCs w:val="20"/>
              </w:rPr>
            </w:pPr>
            <w:r>
              <w:rPr>
                <w:rFonts w:cs="Arial" w:ascii="Arial" w:hAnsi="Arial"/>
                <w:sz w:val="20"/>
              </w:rPr>
              <w:t xml:space="preserve">3.2. Caracterizar las reacciones químicas como cambios de unas sustancias en otras. </w:t>
            </w:r>
            <w:r>
              <w:rPr>
                <w:rFonts w:cs="Arial" w:ascii="Arial" w:hAnsi="Arial"/>
                <w:b/>
                <w:sz w:val="20"/>
              </w:rPr>
              <w:t>(CMCT).</w:t>
            </w:r>
          </w:p>
        </w:tc>
        <w:tc>
          <w:tcPr>
            <w:tcW w:w="2551" w:type="dxa"/>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fill="auto" w:val="clear"/>
            <w:tcMar>
              <w:left w:w="107" w:type="dxa"/>
            </w:tcMar>
            <w:vAlign w:val="center"/>
          </w:tcPr>
          <w:p>
            <w:pPr>
              <w:pStyle w:val="Normal"/>
              <w:spacing w:lineRule="auto" w:line="240" w:before="0" w:after="0"/>
              <w:ind w:left="459" w:hanging="459"/>
              <w:rPr>
                <w:rFonts w:ascii="Arial" w:hAnsi="Arial" w:cs="Arial"/>
                <w:sz w:val="20"/>
                <w:szCs w:val="20"/>
              </w:rPr>
            </w:pPr>
            <w:r>
              <w:rPr>
                <w:rFonts w:cs="Arial" w:ascii="Arial" w:hAnsi="Arial"/>
                <w:sz w:val="20"/>
                <w:szCs w:val="20"/>
              </w:rPr>
              <w:t>3.2.1.</w:t>
              <w:tab/>
              <w:t>Identifica cuáles son los reactivos y los productos de reacciones químicas sencillas interpretando la representación esquemática de una reacción química.</w:t>
            </w:r>
          </w:p>
        </w:tc>
        <w:tc>
          <w:tcPr>
            <w:tcW w:w="2574" w:type="dxa"/>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fill="auto" w:val="clear"/>
            <w:tcMar>
              <w:left w:w="107" w:type="dxa"/>
            </w:tcMar>
            <w:vAlign w:val="center"/>
          </w:tcPr>
          <w:p>
            <w:pPr>
              <w:pStyle w:val="ListParagraph"/>
              <w:numPr>
                <w:ilvl w:val="0"/>
                <w:numId w:val="2"/>
              </w:numPr>
              <w:spacing w:lineRule="auto" w:line="240" w:before="0" w:after="0"/>
              <w:ind w:left="125" w:hanging="123"/>
              <w:contextualSpacing/>
              <w:rPr>
                <w:rFonts w:ascii="Arial" w:hAnsi="Arial" w:cs="Arial"/>
                <w:sz w:val="20"/>
                <w:szCs w:val="20"/>
              </w:rPr>
            </w:pPr>
            <w:r>
              <w:rPr>
                <w:rFonts w:cs="Arial" w:ascii="Arial" w:hAnsi="Arial"/>
                <w:sz w:val="20"/>
                <w:szCs w:val="20"/>
              </w:rPr>
              <w:t>Reconoce las reacciones químicas poniendo ejemplos concretos, como el proceso por el que unos reactivos se transforman en los productos.</w:t>
            </w:r>
          </w:p>
          <w:p>
            <w:pPr>
              <w:pStyle w:val="ListParagraph"/>
              <w:spacing w:lineRule="auto" w:line="240" w:before="0" w:after="0"/>
              <w:ind w:left="125" w:hanging="0"/>
              <w:contextualSpacing/>
              <w:rPr>
                <w:rFonts w:ascii="Arial" w:hAnsi="Arial" w:cs="Arial"/>
                <w:b/>
                <w:b/>
                <w:spacing w:val="0"/>
                <w:sz w:val="20"/>
                <w:szCs w:val="20"/>
              </w:rPr>
            </w:pPr>
            <w:r>
              <w:rPr>
                <w:rFonts w:cs="Arial" w:ascii="Arial" w:hAnsi="Arial"/>
                <w:b/>
                <w:sz w:val="20"/>
                <w:szCs w:val="20"/>
              </w:rPr>
              <w:t>Act. 1, pág. 118.</w:t>
            </w:r>
          </w:p>
        </w:tc>
      </w:tr>
      <w:tr>
        <w:trPr>
          <w:trHeight w:val="2633" w:hRule="atLeast"/>
        </w:trPr>
        <w:tc>
          <w:tcPr>
            <w:tcW w:w="1231" w:type="dxa"/>
            <w:vMerge w:val="continue"/>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fill="auto" w:val="clear"/>
            <w:tcMar>
              <w:left w:w="107" w:type="dxa"/>
            </w:tcMar>
          </w:tcPr>
          <w:p>
            <w:pPr>
              <w:pStyle w:val="Normal"/>
              <w:spacing w:lineRule="auto" w:line="240" w:before="0" w:after="0"/>
              <w:jc w:val="both"/>
              <w:rPr>
                <w:rFonts w:ascii="Arial" w:hAnsi="Arial" w:cs="Arial"/>
                <w:b/>
                <w:b/>
                <w:sz w:val="20"/>
                <w:szCs w:val="20"/>
              </w:rPr>
            </w:pPr>
            <w:r>
              <w:rPr>
                <w:rFonts w:cs="Arial" w:ascii="Arial" w:hAnsi="Arial"/>
                <w:b/>
                <w:sz w:val="20"/>
                <w:szCs w:val="20"/>
              </w:rPr>
            </w:r>
          </w:p>
        </w:tc>
        <w:tc>
          <w:tcPr>
            <w:tcW w:w="2162" w:type="dxa"/>
            <w:vMerge w:val="continue"/>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fill="auto" w:val="clear"/>
            <w:tcMar>
              <w:left w:w="107" w:type="dxa"/>
            </w:tcMar>
          </w:tcPr>
          <w:p>
            <w:pPr>
              <w:pStyle w:val="Normal"/>
              <w:spacing w:lineRule="auto" w:line="240" w:before="0" w:after="0"/>
              <w:rPr>
                <w:rFonts w:ascii="Arial" w:hAnsi="Arial" w:cs="Arial"/>
                <w:b/>
                <w:b/>
                <w:sz w:val="20"/>
                <w:szCs w:val="20"/>
              </w:rPr>
            </w:pPr>
            <w:r>
              <w:rPr>
                <w:rFonts w:cs="Arial" w:ascii="Arial" w:hAnsi="Arial"/>
                <w:b/>
                <w:sz w:val="20"/>
                <w:szCs w:val="20"/>
              </w:rPr>
            </w:r>
          </w:p>
        </w:tc>
        <w:tc>
          <w:tcPr>
            <w:tcW w:w="2244" w:type="dxa"/>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fill="auto" w:val="clear"/>
            <w:tcMar>
              <w:left w:w="107" w:type="dxa"/>
            </w:tcMar>
            <w:vAlign w:val="center"/>
          </w:tcPr>
          <w:p>
            <w:pPr>
              <w:pStyle w:val="Normal"/>
              <w:spacing w:lineRule="auto" w:line="240" w:before="0" w:after="0"/>
              <w:rPr>
                <w:rFonts w:ascii="Arial" w:hAnsi="Arial" w:cs="Arial"/>
                <w:sz w:val="20"/>
              </w:rPr>
            </w:pPr>
            <w:r>
              <w:rPr>
                <w:rFonts w:cs="Arial" w:ascii="Arial" w:hAnsi="Arial"/>
                <w:sz w:val="20"/>
              </w:rPr>
              <w:t xml:space="preserve">3.3. Describir a nivel molecular el proceso por el cual los reactivos se transforman en productos en términos de la teoría de colisiones. </w:t>
            </w:r>
            <w:r>
              <w:rPr>
                <w:rFonts w:cs="Arial" w:ascii="Arial" w:hAnsi="Arial"/>
                <w:b/>
                <w:sz w:val="20"/>
              </w:rPr>
              <w:t>(CCL, CMCT, CAA).</w:t>
            </w:r>
            <w:r>
              <w:rPr>
                <w:rFonts w:cs="Arial" w:ascii="Arial" w:hAnsi="Arial"/>
                <w:sz w:val="20"/>
              </w:rPr>
              <w:t xml:space="preserve"> </w:t>
            </w:r>
          </w:p>
          <w:p>
            <w:pPr>
              <w:pStyle w:val="ListParagraph"/>
              <w:spacing w:lineRule="auto" w:line="240" w:before="0" w:after="0"/>
              <w:ind w:left="176" w:hanging="0"/>
              <w:contextualSpacing/>
              <w:rPr>
                <w:rFonts w:ascii="Arial" w:hAnsi="Arial" w:cs="Arial"/>
                <w:sz w:val="20"/>
                <w:szCs w:val="20"/>
              </w:rPr>
            </w:pPr>
            <w:r>
              <w:rPr>
                <w:rFonts w:cs="Arial" w:ascii="Arial" w:hAnsi="Arial"/>
                <w:sz w:val="20"/>
                <w:szCs w:val="20"/>
              </w:rPr>
            </w:r>
          </w:p>
        </w:tc>
        <w:tc>
          <w:tcPr>
            <w:tcW w:w="2551" w:type="dxa"/>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fill="auto" w:val="clear"/>
            <w:tcMar>
              <w:left w:w="107" w:type="dxa"/>
            </w:tcMar>
            <w:vAlign w:val="center"/>
          </w:tcPr>
          <w:p>
            <w:pPr>
              <w:pStyle w:val="Normal"/>
              <w:spacing w:lineRule="auto" w:line="240" w:before="0" w:after="0"/>
              <w:ind w:left="456" w:hanging="426"/>
              <w:rPr>
                <w:rFonts w:ascii="Arial" w:hAnsi="Arial" w:cs="Arial"/>
                <w:sz w:val="20"/>
                <w:szCs w:val="20"/>
              </w:rPr>
            </w:pPr>
            <w:r>
              <w:rPr>
                <w:rFonts w:cs="Arial" w:ascii="Arial" w:hAnsi="Arial"/>
                <w:sz w:val="20"/>
                <w:szCs w:val="20"/>
              </w:rPr>
              <w:t>3.3.1. Representa e interpreta una reacción química a partir de la teoría atómico-molecular y la teoría de colisiones.</w:t>
            </w:r>
          </w:p>
        </w:tc>
        <w:tc>
          <w:tcPr>
            <w:tcW w:w="2574" w:type="dxa"/>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fill="auto" w:val="clear"/>
            <w:tcMar>
              <w:left w:w="107" w:type="dxa"/>
            </w:tcMar>
            <w:vAlign w:val="center"/>
          </w:tcPr>
          <w:p>
            <w:pPr>
              <w:pStyle w:val="ListParagraph"/>
              <w:numPr>
                <w:ilvl w:val="0"/>
                <w:numId w:val="2"/>
              </w:numPr>
              <w:spacing w:lineRule="auto" w:line="240" w:before="0" w:after="0"/>
              <w:ind w:left="125" w:hanging="123"/>
              <w:contextualSpacing/>
              <w:rPr>
                <w:rFonts w:ascii="Arial" w:hAnsi="Arial" w:cs="Arial"/>
                <w:sz w:val="20"/>
                <w:szCs w:val="20"/>
              </w:rPr>
            </w:pPr>
            <w:r>
              <w:rPr>
                <w:rFonts w:cs="Arial" w:ascii="Arial" w:hAnsi="Arial"/>
                <w:sz w:val="20"/>
                <w:szCs w:val="20"/>
              </w:rPr>
              <w:t>Interpreta las reacciones químicas a nivel molecular y aplica las teorías atómico-molecular y de colisiones.</w:t>
            </w:r>
          </w:p>
          <w:p>
            <w:pPr>
              <w:pStyle w:val="ListParagraph"/>
              <w:spacing w:lineRule="auto" w:line="240" w:before="0" w:after="0"/>
              <w:ind w:left="125" w:hanging="0"/>
              <w:contextualSpacing/>
              <w:rPr>
                <w:rFonts w:ascii="Arial" w:hAnsi="Arial" w:cs="Arial"/>
                <w:b/>
                <w:b/>
                <w:spacing w:val="0"/>
                <w:sz w:val="20"/>
                <w:szCs w:val="20"/>
                <w:lang w:val="en-US"/>
              </w:rPr>
            </w:pPr>
            <w:r>
              <w:rPr>
                <w:rFonts w:cs="Arial" w:ascii="Arial" w:hAnsi="Arial"/>
                <w:b/>
                <w:spacing w:val="0"/>
                <w:sz w:val="20"/>
                <w:szCs w:val="20"/>
                <w:lang w:val="en-US"/>
              </w:rPr>
              <w:t>Act. 7, pág. 121.</w:t>
            </w:r>
          </w:p>
          <w:p>
            <w:pPr>
              <w:pStyle w:val="ListParagraph"/>
              <w:spacing w:lineRule="auto" w:line="240" w:before="0" w:after="0"/>
              <w:ind w:left="125" w:hanging="0"/>
              <w:contextualSpacing/>
              <w:rPr>
                <w:rFonts w:ascii="Arial" w:hAnsi="Arial" w:cs="Arial"/>
                <w:b/>
                <w:b/>
                <w:spacing w:val="0"/>
                <w:sz w:val="20"/>
                <w:szCs w:val="20"/>
                <w:lang w:val="en-US"/>
              </w:rPr>
            </w:pPr>
            <w:r>
              <w:rPr>
                <w:rFonts w:cs="Arial" w:ascii="Arial" w:hAnsi="Arial"/>
                <w:b/>
                <w:spacing w:val="0"/>
                <w:sz w:val="20"/>
                <w:szCs w:val="20"/>
                <w:lang w:val="en-US"/>
              </w:rPr>
              <w:t>Act. 8 y 9, pág. 122.</w:t>
            </w:r>
          </w:p>
          <w:p>
            <w:pPr>
              <w:pStyle w:val="ListParagraph"/>
              <w:spacing w:lineRule="auto" w:line="240" w:before="0" w:after="0"/>
              <w:ind w:left="125" w:hanging="0"/>
              <w:contextualSpacing/>
              <w:rPr>
                <w:rFonts w:ascii="Arial" w:hAnsi="Arial" w:cs="Arial"/>
                <w:sz w:val="20"/>
                <w:szCs w:val="20"/>
              </w:rPr>
            </w:pPr>
            <w:r>
              <w:rPr>
                <w:rFonts w:cs="Arial" w:ascii="Arial" w:hAnsi="Arial"/>
                <w:b/>
                <w:spacing w:val="0"/>
                <w:sz w:val="20"/>
                <w:szCs w:val="20"/>
              </w:rPr>
              <w:t xml:space="preserve">Act. 24, 25, 26 y 27, pág. 130. </w:t>
            </w:r>
          </w:p>
        </w:tc>
      </w:tr>
    </w:tbl>
    <w:p>
      <w:pPr>
        <w:pStyle w:val="Normal"/>
        <w:rPr/>
      </w:pPr>
      <w:r>
        <w:rPr/>
      </w:r>
      <w:r>
        <w:br w:type="page"/>
      </w:r>
    </w:p>
    <w:tbl>
      <w:tblPr>
        <w:tblStyle w:val="Tablaconcuadrcula"/>
        <w:tblW w:w="10762" w:type="dxa"/>
        <w:jc w:val="left"/>
        <w:tblInd w:w="0" w:type="dxa"/>
        <w:tblCellMar>
          <w:top w:w="0" w:type="dxa"/>
          <w:left w:w="107" w:type="dxa"/>
          <w:bottom w:w="0" w:type="dxa"/>
          <w:right w:w="108" w:type="dxa"/>
        </w:tblCellMar>
        <w:tblLook w:lastRow="0" w:firstRow="1" w:val="04a0" w:noVBand="1" w:firstColumn="1" w:noHBand="0" w:lastColumn="0"/>
      </w:tblPr>
      <w:tblGrid>
        <w:gridCol w:w="1231"/>
        <w:gridCol w:w="2162"/>
        <w:gridCol w:w="2244"/>
        <w:gridCol w:w="2551"/>
        <w:gridCol w:w="2574"/>
      </w:tblGrid>
      <w:tr>
        <w:trPr/>
        <w:tc>
          <w:tcPr>
            <w:tcW w:w="1231" w:type="dxa"/>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color="auto" w:fill="BFBFBF" w:themeFill="background1" w:themeFillShade="bf" w:val="clear"/>
            <w:tcMar>
              <w:left w:w="107" w:type="dxa"/>
            </w:tcMar>
            <w:vAlign w:val="center"/>
          </w:tcPr>
          <w:p>
            <w:pPr>
              <w:pStyle w:val="Normal"/>
              <w:pageBreakBefore/>
              <w:spacing w:lineRule="auto" w:line="240" w:before="0" w:after="0"/>
              <w:jc w:val="center"/>
              <w:rPr>
                <w:rFonts w:ascii="Arial" w:hAnsi="Arial" w:cs="Arial"/>
                <w:b/>
                <w:b/>
                <w:color w:val="FFFFFF" w:themeColor="background1"/>
                <w:sz w:val="20"/>
                <w:szCs w:val="20"/>
              </w:rPr>
            </w:pPr>
            <w:r>
              <w:rPr>
                <w:rFonts w:cs="Arial" w:ascii="Arial" w:hAnsi="Arial"/>
                <w:b/>
                <w:color w:val="FFFFFF" w:themeColor="background1"/>
                <w:sz w:val="20"/>
                <w:szCs w:val="20"/>
              </w:rPr>
              <w:t>BLOQUE</w:t>
            </w:r>
          </w:p>
        </w:tc>
        <w:tc>
          <w:tcPr>
            <w:tcW w:w="2162" w:type="dxa"/>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color="auto" w:fill="BFBFBF" w:themeFill="background1" w:themeFillShade="bf" w:val="clear"/>
            <w:tcMar>
              <w:left w:w="107" w:type="dxa"/>
            </w:tcMar>
            <w:vAlign w:val="center"/>
          </w:tcPr>
          <w:p>
            <w:pPr>
              <w:pStyle w:val="Normal"/>
              <w:spacing w:lineRule="auto" w:line="240" w:before="0" w:after="0"/>
              <w:jc w:val="center"/>
              <w:rPr>
                <w:rFonts w:ascii="Arial" w:hAnsi="Arial" w:cs="Arial"/>
                <w:b/>
                <w:b/>
                <w:color w:val="FFFFFF" w:themeColor="background1"/>
                <w:sz w:val="20"/>
                <w:szCs w:val="20"/>
              </w:rPr>
            </w:pPr>
            <w:r>
              <w:rPr>
                <w:rFonts w:cs="Arial" w:ascii="Arial" w:hAnsi="Arial"/>
                <w:b/>
                <w:color w:val="FFFFFF" w:themeColor="background1"/>
                <w:sz w:val="20"/>
                <w:szCs w:val="20"/>
              </w:rPr>
              <w:t>CONTENIDOS</w:t>
            </w:r>
          </w:p>
        </w:tc>
        <w:tc>
          <w:tcPr>
            <w:tcW w:w="2244" w:type="dxa"/>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color="auto" w:fill="BFBFBF" w:themeFill="background1" w:themeFillShade="bf" w:val="clear"/>
            <w:tcMar>
              <w:left w:w="107" w:type="dxa"/>
            </w:tcMar>
            <w:vAlign w:val="center"/>
          </w:tcPr>
          <w:p>
            <w:pPr>
              <w:pStyle w:val="Normal"/>
              <w:spacing w:lineRule="auto" w:line="240" w:before="0" w:after="0"/>
              <w:jc w:val="center"/>
              <w:rPr>
                <w:rFonts w:ascii="Arial" w:hAnsi="Arial" w:cs="Arial"/>
                <w:b/>
                <w:b/>
                <w:color w:val="FFFFFF" w:themeColor="background1"/>
                <w:sz w:val="20"/>
                <w:szCs w:val="20"/>
              </w:rPr>
            </w:pPr>
            <w:r>
              <w:rPr>
                <w:rFonts w:cs="Arial" w:ascii="Arial" w:hAnsi="Arial"/>
                <w:b/>
                <w:color w:val="FFFFFF" w:themeColor="background1"/>
                <w:sz w:val="20"/>
                <w:szCs w:val="20"/>
              </w:rPr>
              <w:t>CRITERIOS DE EVALUACIÓN</w:t>
            </w:r>
          </w:p>
        </w:tc>
        <w:tc>
          <w:tcPr>
            <w:tcW w:w="2551" w:type="dxa"/>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color="auto" w:fill="BFBFBF" w:themeFill="background1" w:themeFillShade="bf" w:val="clear"/>
            <w:tcMar>
              <w:left w:w="107" w:type="dxa"/>
            </w:tcMar>
            <w:vAlign w:val="center"/>
          </w:tcPr>
          <w:p>
            <w:pPr>
              <w:pStyle w:val="Normal"/>
              <w:spacing w:lineRule="auto" w:line="240" w:before="0" w:after="0"/>
              <w:jc w:val="center"/>
              <w:rPr>
                <w:rFonts w:ascii="Arial" w:hAnsi="Arial" w:cs="Arial"/>
                <w:b/>
                <w:b/>
                <w:color w:val="FFFFFF" w:themeColor="background1"/>
                <w:sz w:val="20"/>
                <w:szCs w:val="20"/>
              </w:rPr>
            </w:pPr>
            <w:r>
              <w:rPr>
                <w:rFonts w:cs="Arial" w:ascii="Arial" w:hAnsi="Arial"/>
                <w:b/>
                <w:color w:val="FFFFFF" w:themeColor="background1"/>
                <w:sz w:val="20"/>
                <w:szCs w:val="20"/>
              </w:rPr>
              <w:t>ESTÁNDARES DE APRENDIZAJE*</w:t>
            </w:r>
          </w:p>
        </w:tc>
        <w:tc>
          <w:tcPr>
            <w:tcW w:w="2574" w:type="dxa"/>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color="auto" w:fill="BFBFBF" w:themeFill="background1" w:themeFillShade="bf" w:val="clear"/>
            <w:tcMar>
              <w:left w:w="107" w:type="dxa"/>
            </w:tcMar>
            <w:vAlign w:val="center"/>
          </w:tcPr>
          <w:p>
            <w:pPr>
              <w:pStyle w:val="Normal"/>
              <w:spacing w:lineRule="auto" w:line="240" w:before="0" w:after="0"/>
              <w:jc w:val="center"/>
              <w:rPr>
                <w:rFonts w:ascii="Arial" w:hAnsi="Arial" w:cs="Arial"/>
                <w:b/>
                <w:b/>
                <w:color w:val="FFFFFF" w:themeColor="background1"/>
                <w:sz w:val="20"/>
                <w:szCs w:val="20"/>
              </w:rPr>
            </w:pPr>
            <w:r>
              <w:rPr>
                <w:rFonts w:cs="Arial" w:ascii="Arial" w:hAnsi="Arial"/>
                <w:b/>
                <w:color w:val="FFFFFF" w:themeColor="background1"/>
                <w:sz w:val="20"/>
                <w:szCs w:val="20"/>
              </w:rPr>
              <w:t>ACTIVIDADES</w:t>
            </w:r>
          </w:p>
        </w:tc>
      </w:tr>
      <w:tr>
        <w:trPr>
          <w:trHeight w:val="1134" w:hRule="atLeast"/>
          <w:cantSplit w:val="true"/>
        </w:trPr>
        <w:tc>
          <w:tcPr>
            <w:tcW w:w="1231" w:type="dxa"/>
            <w:vMerge w:val="restart"/>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fill="auto" w:val="clear"/>
            <w:tcMar>
              <w:left w:w="107" w:type="dxa"/>
            </w:tcMar>
            <w:textDirection w:val="btLr"/>
            <w:vAlign w:val="center"/>
          </w:tcPr>
          <w:p>
            <w:pPr>
              <w:pStyle w:val="Normal"/>
              <w:spacing w:lineRule="auto" w:line="240" w:before="0" w:after="0"/>
              <w:ind w:left="113" w:right="113" w:hanging="0"/>
              <w:jc w:val="center"/>
              <w:rPr>
                <w:rFonts w:ascii="Arial" w:hAnsi="Arial" w:cs="Arial"/>
                <w:b/>
                <w:b/>
                <w:sz w:val="20"/>
                <w:szCs w:val="20"/>
              </w:rPr>
            </w:pPr>
            <w:r>
              <w:rPr>
                <w:rFonts w:cs="Arial" w:ascii="Arial" w:hAnsi="Arial"/>
                <w:b/>
                <w:sz w:val="20"/>
                <w:szCs w:val="20"/>
              </w:rPr>
              <w:t>Bloque 3. Los cambios</w:t>
            </w:r>
          </w:p>
        </w:tc>
        <w:tc>
          <w:tcPr>
            <w:tcW w:w="2162" w:type="dxa"/>
            <w:tcBorders>
              <w:top w:val="single" w:sz="12" w:space="0" w:color="808080"/>
              <w:left w:val="single" w:sz="12" w:space="0" w:color="808080"/>
              <w:bottom w:val="nil"/>
              <w:right w:val="single" w:sz="12" w:space="0" w:color="808080"/>
              <w:insideH w:val="nil"/>
              <w:insideV w:val="single" w:sz="12" w:space="0" w:color="808080"/>
            </w:tcBorders>
            <w:shd w:fill="auto" w:val="clear"/>
            <w:tcMar>
              <w:left w:w="107" w:type="dxa"/>
            </w:tcMar>
            <w:vAlign w:val="center"/>
          </w:tcPr>
          <w:p>
            <w:pPr>
              <w:pStyle w:val="Normal"/>
              <w:spacing w:lineRule="auto" w:line="240" w:before="0" w:after="0"/>
              <w:rPr>
                <w:rFonts w:ascii="Arial" w:hAnsi="Arial" w:cs="Arial"/>
                <w:b/>
                <w:b/>
                <w:sz w:val="20"/>
                <w:szCs w:val="20"/>
              </w:rPr>
            </w:pPr>
            <w:r>
              <w:rPr>
                <w:rFonts w:cs="Arial" w:ascii="Arial" w:hAnsi="Arial"/>
                <w:b/>
                <w:sz w:val="20"/>
                <w:szCs w:val="20"/>
              </w:rPr>
              <w:t>La reacción química</w:t>
            </w:r>
          </w:p>
          <w:p>
            <w:pPr>
              <w:pStyle w:val="Normal"/>
              <w:spacing w:lineRule="auto" w:line="240" w:before="0" w:after="0"/>
              <w:rPr>
                <w:rFonts w:ascii="Arial" w:hAnsi="Arial" w:eastAsia="" w:cs="Arial" w:eastAsiaTheme="majorEastAsia"/>
                <w:b/>
                <w:b/>
                <w:bCs/>
                <w:sz w:val="20"/>
                <w:szCs w:val="20"/>
              </w:rPr>
            </w:pPr>
            <w:r>
              <w:rPr>
                <w:rFonts w:cs="Arial" w:ascii="Arial" w:hAnsi="Arial"/>
                <w:b/>
                <w:sz w:val="20"/>
              </w:rPr>
              <w:t>Ley de conservación de la masa</w:t>
            </w:r>
          </w:p>
        </w:tc>
        <w:tc>
          <w:tcPr>
            <w:tcW w:w="2244" w:type="dxa"/>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fill="auto" w:val="clear"/>
            <w:tcMar>
              <w:left w:w="107" w:type="dxa"/>
            </w:tcMar>
            <w:vAlign w:val="center"/>
          </w:tcPr>
          <w:p>
            <w:pPr>
              <w:pStyle w:val="Normal"/>
              <w:spacing w:lineRule="auto" w:line="240" w:before="0" w:after="0"/>
              <w:rPr>
                <w:rFonts w:ascii="Arial" w:hAnsi="Arial" w:cs="Arial"/>
                <w:sz w:val="20"/>
              </w:rPr>
            </w:pPr>
            <w:r>
              <w:rPr>
                <w:rFonts w:cs="Arial" w:ascii="Arial" w:hAnsi="Arial"/>
                <w:sz w:val="20"/>
              </w:rPr>
              <w:t xml:space="preserve">3.4. Deducir la ley de conservación de la masa y reconocer reactivos y productos a través de experiencias sencillas en el laboratorio y/o de simulaciones por ordenador. </w:t>
            </w:r>
            <w:r>
              <w:rPr>
                <w:rFonts w:cs="Arial" w:ascii="Arial" w:hAnsi="Arial"/>
                <w:b/>
                <w:sz w:val="20"/>
              </w:rPr>
              <w:t>(CMCT, CD, CAA)</w:t>
            </w:r>
            <w:r>
              <w:rPr>
                <w:rFonts w:cs="Arial" w:ascii="Arial" w:hAnsi="Arial"/>
                <w:sz w:val="20"/>
              </w:rPr>
              <w:t xml:space="preserve">. </w:t>
            </w:r>
          </w:p>
          <w:p>
            <w:pPr>
              <w:pStyle w:val="ListParagraph"/>
              <w:spacing w:lineRule="auto" w:line="240" w:before="0" w:after="0"/>
              <w:ind w:left="176" w:hanging="0"/>
              <w:contextualSpacing/>
              <w:rPr>
                <w:rFonts w:ascii="Arial" w:hAnsi="Arial" w:cs="Arial"/>
                <w:sz w:val="20"/>
                <w:szCs w:val="20"/>
              </w:rPr>
            </w:pPr>
            <w:r>
              <w:rPr>
                <w:rFonts w:cs="Arial" w:ascii="Arial" w:hAnsi="Arial"/>
                <w:sz w:val="20"/>
                <w:szCs w:val="20"/>
              </w:rPr>
            </w:r>
          </w:p>
        </w:tc>
        <w:tc>
          <w:tcPr>
            <w:tcW w:w="2551" w:type="dxa"/>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fill="auto" w:val="clear"/>
            <w:tcMar>
              <w:left w:w="107" w:type="dxa"/>
            </w:tcMar>
            <w:vAlign w:val="center"/>
          </w:tcPr>
          <w:p>
            <w:pPr>
              <w:pStyle w:val="Normal"/>
              <w:spacing w:lineRule="auto" w:line="240" w:before="0" w:after="0"/>
              <w:ind w:left="456" w:hanging="426"/>
              <w:rPr>
                <w:rFonts w:ascii="Arial" w:hAnsi="Arial" w:cs="Arial"/>
                <w:sz w:val="20"/>
                <w:szCs w:val="20"/>
              </w:rPr>
            </w:pPr>
            <w:r>
              <w:rPr>
                <w:rFonts w:cs="Arial" w:ascii="Arial" w:hAnsi="Arial"/>
                <w:sz w:val="20"/>
                <w:szCs w:val="20"/>
              </w:rPr>
              <w:t>3.4.1. Reconoce cuáles son los reactivos y los productos a partir de la representación de reacciones químicas sencillas y comprueba experimentalmente que se cumple la ley de conservación de la masa.</w:t>
            </w:r>
          </w:p>
          <w:p>
            <w:pPr>
              <w:pStyle w:val="Normal"/>
              <w:spacing w:lineRule="auto" w:line="240" w:before="0" w:after="0"/>
              <w:ind w:left="459" w:hanging="0"/>
              <w:rPr>
                <w:rFonts w:ascii="Arial" w:hAnsi="Arial" w:eastAsia="" w:cs="Arial" w:eastAsiaTheme="majorEastAsia"/>
                <w:b/>
                <w:b/>
                <w:bCs/>
                <w:i/>
                <w:i/>
                <w:iCs/>
                <w:color w:val="4F81BD" w:themeColor="accent1"/>
                <w:sz w:val="20"/>
                <w:szCs w:val="20"/>
              </w:rPr>
            </w:pPr>
            <w:r>
              <w:rPr>
                <w:rFonts w:eastAsia="" w:cs="Arial" w:eastAsiaTheme="majorEastAsia" w:ascii="Arial" w:hAnsi="Arial"/>
                <w:b/>
                <w:bCs/>
                <w:i/>
                <w:iCs/>
                <w:color w:val="4F81BD" w:themeColor="accent1"/>
                <w:sz w:val="20"/>
                <w:szCs w:val="20"/>
              </w:rPr>
            </w:r>
          </w:p>
        </w:tc>
        <w:tc>
          <w:tcPr>
            <w:tcW w:w="2574" w:type="dxa"/>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fill="auto" w:val="clear"/>
            <w:tcMar>
              <w:left w:w="107" w:type="dxa"/>
            </w:tcMar>
            <w:vAlign w:val="center"/>
          </w:tcPr>
          <w:p>
            <w:pPr>
              <w:pStyle w:val="ListParagraph"/>
              <w:numPr>
                <w:ilvl w:val="0"/>
                <w:numId w:val="2"/>
              </w:numPr>
              <w:spacing w:lineRule="auto" w:line="240" w:before="0" w:after="0"/>
              <w:ind w:left="123" w:hanging="123"/>
              <w:contextualSpacing/>
              <w:rPr>
                <w:rFonts w:ascii="Arial" w:hAnsi="Arial" w:cs="Arial"/>
                <w:sz w:val="20"/>
                <w:szCs w:val="20"/>
              </w:rPr>
            </w:pPr>
            <w:r>
              <w:rPr>
                <w:rFonts w:cs="Arial" w:ascii="Arial" w:hAnsi="Arial"/>
                <w:sz w:val="20"/>
                <w:szCs w:val="20"/>
              </w:rPr>
              <w:t>Deduce la ley de conservación de la masa y la pone de manifiesto mediante experiencias sencillas en el laboratorio o simulaciones por ordenador.</w:t>
            </w:r>
          </w:p>
          <w:p>
            <w:pPr>
              <w:pStyle w:val="ListParagraph"/>
              <w:spacing w:lineRule="auto" w:line="240" w:before="0" w:after="0"/>
              <w:ind w:left="123" w:hanging="0"/>
              <w:contextualSpacing/>
              <w:rPr>
                <w:rFonts w:ascii="Arial" w:hAnsi="Arial" w:cs="Arial"/>
                <w:b/>
                <w:b/>
                <w:spacing w:val="0"/>
                <w:sz w:val="20"/>
                <w:szCs w:val="20"/>
                <w:lang w:val="en-US"/>
              </w:rPr>
            </w:pPr>
            <w:r>
              <w:rPr>
                <w:rFonts w:cs="Arial" w:ascii="Arial" w:hAnsi="Arial"/>
                <w:b/>
                <w:spacing w:val="0"/>
                <w:sz w:val="20"/>
                <w:szCs w:val="20"/>
                <w:lang w:val="en-US"/>
              </w:rPr>
              <w:t>Act. 4 y 5, pág. 120.</w:t>
            </w:r>
          </w:p>
          <w:p>
            <w:pPr>
              <w:pStyle w:val="ListParagraph"/>
              <w:spacing w:lineRule="auto" w:line="240" w:before="0" w:after="0"/>
              <w:ind w:left="123" w:hanging="0"/>
              <w:contextualSpacing/>
              <w:rPr>
                <w:rFonts w:ascii="Arial" w:hAnsi="Arial" w:cs="Arial"/>
                <w:b/>
                <w:b/>
                <w:spacing w:val="0"/>
                <w:sz w:val="20"/>
                <w:szCs w:val="20"/>
                <w:lang w:val="en-US"/>
              </w:rPr>
            </w:pPr>
            <w:r>
              <w:rPr>
                <w:rFonts w:cs="Arial" w:ascii="Arial" w:hAnsi="Arial"/>
                <w:b/>
                <w:spacing w:val="0"/>
                <w:sz w:val="20"/>
                <w:szCs w:val="20"/>
                <w:lang w:val="en-US"/>
              </w:rPr>
              <w:t>Act. 11, pág. 123.</w:t>
            </w:r>
          </w:p>
          <w:p>
            <w:pPr>
              <w:pStyle w:val="ListParagraph"/>
              <w:spacing w:lineRule="auto" w:line="240" w:before="0" w:after="0"/>
              <w:ind w:left="123" w:hanging="0"/>
              <w:contextualSpacing/>
              <w:rPr>
                <w:rFonts w:ascii="Arial" w:hAnsi="Arial" w:cs="Arial"/>
                <w:b/>
                <w:b/>
                <w:spacing w:val="0"/>
                <w:sz w:val="20"/>
                <w:szCs w:val="20"/>
                <w:lang w:val="en-US"/>
              </w:rPr>
            </w:pPr>
            <w:r>
              <w:rPr>
                <w:rFonts w:cs="Arial" w:ascii="Arial" w:hAnsi="Arial"/>
                <w:b/>
                <w:spacing w:val="0"/>
                <w:sz w:val="20"/>
                <w:szCs w:val="20"/>
                <w:lang w:val="en-US"/>
              </w:rPr>
              <w:t>Act. 13, pág. 124.</w:t>
            </w:r>
          </w:p>
          <w:p>
            <w:pPr>
              <w:pStyle w:val="ListParagraph"/>
              <w:spacing w:lineRule="auto" w:line="240" w:before="0" w:after="0"/>
              <w:ind w:left="123" w:hanging="0"/>
              <w:contextualSpacing/>
              <w:rPr>
                <w:rFonts w:ascii="Arial" w:hAnsi="Arial" w:cs="Arial"/>
                <w:b/>
                <w:b/>
                <w:spacing w:val="0"/>
                <w:sz w:val="20"/>
                <w:szCs w:val="20"/>
              </w:rPr>
            </w:pPr>
            <w:r>
              <w:rPr>
                <w:rFonts w:cs="Arial" w:ascii="Arial" w:hAnsi="Arial"/>
                <w:b/>
                <w:spacing w:val="0"/>
                <w:sz w:val="20"/>
                <w:szCs w:val="20"/>
                <w:lang w:val="en-US"/>
              </w:rPr>
              <w:t xml:space="preserve">Act. 14 y 15, pág. 125. </w:t>
            </w:r>
            <w:r>
              <w:rPr>
                <w:rFonts w:cs="Arial" w:ascii="Arial" w:hAnsi="Arial"/>
                <w:b/>
                <w:spacing w:val="0"/>
                <w:sz w:val="20"/>
                <w:szCs w:val="20"/>
              </w:rPr>
              <w:t>Act. 29, 31, 33, 34 y 35, pág. 131.</w:t>
            </w:r>
          </w:p>
          <w:p>
            <w:pPr>
              <w:pStyle w:val="ListParagraph"/>
              <w:spacing w:lineRule="auto" w:line="240" w:before="0" w:after="0"/>
              <w:ind w:left="123" w:hanging="0"/>
              <w:contextualSpacing/>
              <w:rPr>
                <w:rFonts w:ascii="Arial" w:hAnsi="Arial" w:cs="Arial"/>
                <w:b/>
                <w:b/>
                <w:spacing w:val="0"/>
                <w:sz w:val="20"/>
                <w:szCs w:val="20"/>
              </w:rPr>
            </w:pPr>
            <w:r>
              <w:rPr>
                <w:rFonts w:cs="Arial" w:ascii="Arial" w:hAnsi="Arial"/>
                <w:b/>
                <w:spacing w:val="0"/>
                <w:sz w:val="20"/>
                <w:szCs w:val="20"/>
              </w:rPr>
              <w:t>Act. 36, 38 y 39, pág. 132.</w:t>
            </w:r>
          </w:p>
        </w:tc>
      </w:tr>
      <w:tr>
        <w:trPr>
          <w:trHeight w:val="4010" w:hRule="atLeast"/>
        </w:trPr>
        <w:tc>
          <w:tcPr>
            <w:tcW w:w="1231" w:type="dxa"/>
            <w:vMerge w:val="continue"/>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fill="auto" w:val="clear"/>
            <w:tcMar>
              <w:left w:w="107" w:type="dxa"/>
            </w:tcMar>
          </w:tcPr>
          <w:p>
            <w:pPr>
              <w:pStyle w:val="Normal"/>
              <w:spacing w:lineRule="auto" w:line="240" w:before="0" w:after="0"/>
              <w:jc w:val="both"/>
              <w:rPr>
                <w:rFonts w:ascii="Arial" w:hAnsi="Arial" w:cs="Arial"/>
                <w:b/>
                <w:b/>
                <w:sz w:val="20"/>
                <w:szCs w:val="20"/>
              </w:rPr>
            </w:pPr>
            <w:r>
              <w:rPr>
                <w:rFonts w:cs="Arial" w:ascii="Arial" w:hAnsi="Arial"/>
                <w:b/>
                <w:sz w:val="20"/>
                <w:szCs w:val="20"/>
              </w:rPr>
            </w:r>
          </w:p>
        </w:tc>
        <w:tc>
          <w:tcPr>
            <w:tcW w:w="2162" w:type="dxa"/>
            <w:vMerge w:val="restart"/>
            <w:tcBorders>
              <w:top w:val="nil"/>
              <w:left w:val="single" w:sz="12" w:space="0" w:color="808080"/>
              <w:bottom w:val="single" w:sz="12" w:space="0" w:color="808080"/>
              <w:right w:val="single" w:sz="12" w:space="0" w:color="808080"/>
              <w:insideH w:val="single" w:sz="12" w:space="0" w:color="808080"/>
              <w:insideV w:val="single" w:sz="12" w:space="0" w:color="808080"/>
            </w:tcBorders>
            <w:shd w:fill="auto" w:val="clear"/>
            <w:tcMar>
              <w:left w:w="107" w:type="dxa"/>
            </w:tcMar>
            <w:vAlign w:val="center"/>
          </w:tcPr>
          <w:p>
            <w:pPr>
              <w:pStyle w:val="Normal"/>
              <w:spacing w:lineRule="auto" w:line="240" w:before="0" w:after="0"/>
              <w:rPr>
                <w:rFonts w:ascii="Arial" w:hAnsi="Arial" w:cs="Arial"/>
                <w:b/>
                <w:b/>
                <w:sz w:val="20"/>
                <w:szCs w:val="20"/>
              </w:rPr>
            </w:pPr>
            <w:r>
              <w:rPr>
                <w:rFonts w:cs="Arial" w:ascii="Arial" w:hAnsi="Arial"/>
                <w:b/>
                <w:sz w:val="20"/>
                <w:szCs w:val="20"/>
              </w:rPr>
              <w:t>Concepto de energía de las reacciones químicas. Reacciones exotérmicas y endotérmicas</w:t>
            </w:r>
          </w:p>
          <w:p>
            <w:pPr>
              <w:pStyle w:val="Normal"/>
              <w:spacing w:lineRule="auto" w:line="240" w:before="0" w:after="0"/>
              <w:rPr>
                <w:rFonts w:ascii="Arial" w:hAnsi="Arial" w:cs="Arial"/>
                <w:b/>
                <w:b/>
                <w:sz w:val="20"/>
                <w:szCs w:val="20"/>
              </w:rPr>
            </w:pPr>
            <w:r>
              <w:rPr>
                <w:rFonts w:cs="Arial" w:ascii="Arial" w:hAnsi="Arial"/>
                <w:b/>
                <w:sz w:val="20"/>
                <w:szCs w:val="20"/>
              </w:rPr>
            </w:r>
          </w:p>
          <w:p>
            <w:pPr>
              <w:pStyle w:val="Normal"/>
              <w:spacing w:lineRule="auto" w:line="240" w:before="0" w:after="0"/>
              <w:rPr>
                <w:rFonts w:ascii="Arial" w:hAnsi="Arial" w:cs="Arial"/>
                <w:b/>
                <w:b/>
                <w:sz w:val="20"/>
                <w:szCs w:val="20"/>
              </w:rPr>
            </w:pPr>
            <w:r>
              <w:rPr>
                <w:rFonts w:cs="Arial" w:ascii="Arial" w:hAnsi="Arial"/>
                <w:b/>
                <w:sz w:val="20"/>
                <w:szCs w:val="20"/>
              </w:rPr>
              <w:t>Concepto de velocidad de reacción y los factores que influyen en la velocidad de reacción</w:t>
            </w:r>
          </w:p>
        </w:tc>
        <w:tc>
          <w:tcPr>
            <w:tcW w:w="2244" w:type="dxa"/>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fill="auto" w:val="clear"/>
            <w:tcMar>
              <w:left w:w="107" w:type="dxa"/>
            </w:tcMar>
            <w:vAlign w:val="center"/>
          </w:tcPr>
          <w:p>
            <w:pPr>
              <w:pStyle w:val="Normal"/>
              <w:spacing w:lineRule="auto" w:line="240" w:before="0" w:after="0"/>
              <w:rPr>
                <w:rFonts w:ascii="Arial" w:hAnsi="Arial" w:cs="Arial"/>
                <w:b/>
                <w:b/>
                <w:sz w:val="20"/>
              </w:rPr>
            </w:pPr>
            <w:r>
              <w:rPr>
                <w:rFonts w:cs="Arial" w:ascii="Arial" w:hAnsi="Arial"/>
                <w:sz w:val="20"/>
              </w:rPr>
              <w:t>3.5. Comprobar mediante experiencias sencillas de laboratorio la influencia de determinados factores en la velocidad de las reacciones químicas. (</w:t>
            </w:r>
            <w:r>
              <w:rPr>
                <w:rFonts w:cs="Arial" w:ascii="Arial" w:hAnsi="Arial"/>
                <w:b/>
                <w:sz w:val="20"/>
              </w:rPr>
              <w:t xml:space="preserve">CMCT, CAA). </w:t>
            </w:r>
          </w:p>
          <w:p>
            <w:pPr>
              <w:pStyle w:val="ListParagraph"/>
              <w:spacing w:lineRule="auto" w:line="240" w:before="0" w:after="0"/>
              <w:ind w:left="176" w:hanging="0"/>
              <w:contextualSpacing/>
              <w:rPr>
                <w:rFonts w:ascii="Arial" w:hAnsi="Arial" w:cs="Arial"/>
                <w:sz w:val="20"/>
                <w:szCs w:val="20"/>
              </w:rPr>
            </w:pPr>
            <w:r>
              <w:rPr>
                <w:rFonts w:cs="Arial" w:ascii="Arial" w:hAnsi="Arial"/>
                <w:sz w:val="20"/>
                <w:szCs w:val="20"/>
              </w:rPr>
            </w:r>
          </w:p>
        </w:tc>
        <w:tc>
          <w:tcPr>
            <w:tcW w:w="2551" w:type="dxa"/>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fill="auto" w:val="clear"/>
            <w:tcMar>
              <w:left w:w="107" w:type="dxa"/>
            </w:tcMar>
            <w:vAlign w:val="center"/>
          </w:tcPr>
          <w:p>
            <w:pPr>
              <w:pStyle w:val="Normal"/>
              <w:spacing w:lineRule="auto" w:line="240" w:before="0" w:after="0"/>
              <w:ind w:left="456" w:hanging="426"/>
              <w:rPr>
                <w:rFonts w:ascii="Arial" w:hAnsi="Arial" w:cs="Arial"/>
                <w:spacing w:val="0"/>
                <w:sz w:val="20"/>
                <w:szCs w:val="20"/>
              </w:rPr>
            </w:pPr>
            <w:r>
              <w:rPr>
                <w:rFonts w:cs="Arial" w:ascii="Arial" w:hAnsi="Arial"/>
                <w:spacing w:val="0"/>
                <w:sz w:val="20"/>
                <w:szCs w:val="20"/>
              </w:rPr>
              <w:t xml:space="preserve">3.5.1. Propone el </w:t>
            </w:r>
            <w:r>
              <w:rPr>
                <w:rFonts w:cs="Arial" w:ascii="Arial" w:hAnsi="Arial"/>
                <w:sz w:val="20"/>
                <w:szCs w:val="20"/>
              </w:rPr>
              <w:t>desarrollo</w:t>
            </w:r>
            <w:r>
              <w:rPr>
                <w:rFonts w:cs="Arial" w:ascii="Arial" w:hAnsi="Arial"/>
                <w:spacing w:val="0"/>
                <w:sz w:val="20"/>
                <w:szCs w:val="20"/>
              </w:rPr>
              <w:t xml:space="preserve"> de un experimento sencillo que permita comprobar experimentalmente el efecto de la concentración de los reactivos en la velocidad de formación de los productos de una reacción química, justificando este efecto en términos de la teoría de colisiones.</w:t>
            </w:r>
          </w:p>
          <w:p>
            <w:pPr>
              <w:pStyle w:val="Normal"/>
              <w:spacing w:lineRule="auto" w:line="240" w:before="0" w:after="0"/>
              <w:ind w:left="459" w:hanging="0"/>
              <w:rPr>
                <w:rFonts w:ascii="Arial" w:hAnsi="Arial" w:cs="Arial"/>
                <w:b/>
                <w:b/>
                <w:sz w:val="20"/>
                <w:szCs w:val="20"/>
              </w:rPr>
            </w:pPr>
            <w:r>
              <w:rPr>
                <w:rFonts w:cs="Arial" w:ascii="Arial" w:hAnsi="Arial"/>
                <w:b/>
                <w:sz w:val="20"/>
                <w:szCs w:val="20"/>
              </w:rPr>
            </w:r>
          </w:p>
        </w:tc>
        <w:tc>
          <w:tcPr>
            <w:tcW w:w="2574" w:type="dxa"/>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fill="auto" w:val="clear"/>
            <w:tcMar>
              <w:left w:w="107" w:type="dxa"/>
            </w:tcMar>
            <w:vAlign w:val="center"/>
          </w:tcPr>
          <w:p>
            <w:pPr>
              <w:pStyle w:val="ListParagraph"/>
              <w:numPr>
                <w:ilvl w:val="0"/>
                <w:numId w:val="2"/>
              </w:numPr>
              <w:spacing w:lineRule="auto" w:line="240" w:before="0" w:after="0"/>
              <w:ind w:left="125" w:hanging="123"/>
              <w:contextualSpacing/>
              <w:rPr>
                <w:rFonts w:ascii="Arial" w:hAnsi="Arial" w:cs="Arial"/>
                <w:sz w:val="20"/>
                <w:szCs w:val="20"/>
              </w:rPr>
            </w:pPr>
            <w:r>
              <w:rPr>
                <w:rFonts w:cs="Arial" w:ascii="Arial" w:hAnsi="Arial"/>
                <w:sz w:val="20"/>
                <w:szCs w:val="20"/>
              </w:rPr>
              <w:t>Identifica los factores que influyen en la velocidad de las reacciones químicas.</w:t>
            </w:r>
          </w:p>
          <w:p>
            <w:pPr>
              <w:pStyle w:val="ListParagraph"/>
              <w:spacing w:lineRule="auto" w:line="240" w:before="0" w:after="0"/>
              <w:ind w:left="125" w:hanging="0"/>
              <w:contextualSpacing/>
              <w:rPr>
                <w:rFonts w:ascii="Arial" w:hAnsi="Arial" w:cs="Arial"/>
                <w:b/>
                <w:b/>
                <w:sz w:val="20"/>
                <w:szCs w:val="20"/>
                <w:lang w:val="en-US"/>
              </w:rPr>
            </w:pPr>
            <w:r>
              <w:rPr>
                <w:rFonts w:cs="Arial" w:ascii="Arial" w:hAnsi="Arial"/>
                <w:b/>
                <w:sz w:val="20"/>
                <w:szCs w:val="20"/>
                <w:lang w:val="en-US"/>
              </w:rPr>
              <w:t>Act. 17, pág. 127.</w:t>
            </w:r>
          </w:p>
          <w:p>
            <w:pPr>
              <w:pStyle w:val="ListParagraph"/>
              <w:spacing w:lineRule="auto" w:line="240" w:before="0" w:after="0"/>
              <w:ind w:left="125" w:hanging="0"/>
              <w:contextualSpacing/>
              <w:rPr>
                <w:rFonts w:ascii="Arial" w:hAnsi="Arial" w:cs="Arial"/>
                <w:sz w:val="20"/>
                <w:szCs w:val="20"/>
              </w:rPr>
            </w:pPr>
            <w:r>
              <w:rPr>
                <w:rFonts w:cs="Arial" w:ascii="Arial" w:hAnsi="Arial"/>
                <w:b/>
                <w:sz w:val="20"/>
                <w:szCs w:val="20"/>
                <w:lang w:val="en-US"/>
              </w:rPr>
              <w:t xml:space="preserve">Act. 19 y 20, pág. 129. </w:t>
            </w:r>
            <w:r>
              <w:rPr>
                <w:rFonts w:cs="Arial" w:ascii="Arial" w:hAnsi="Arial"/>
                <w:b/>
                <w:sz w:val="20"/>
                <w:szCs w:val="20"/>
              </w:rPr>
              <w:t>Act. 44, 45, 46, 47, 49 y 50, pág. 133.</w:t>
            </w:r>
          </w:p>
        </w:tc>
      </w:tr>
      <w:tr>
        <w:trPr>
          <w:trHeight w:val="2660" w:hRule="atLeast"/>
        </w:trPr>
        <w:tc>
          <w:tcPr>
            <w:tcW w:w="1231" w:type="dxa"/>
            <w:vMerge w:val="continue"/>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fill="auto" w:val="clear"/>
            <w:tcMar>
              <w:left w:w="107" w:type="dxa"/>
            </w:tcMar>
          </w:tcPr>
          <w:p>
            <w:pPr>
              <w:pStyle w:val="Normal"/>
              <w:spacing w:lineRule="auto" w:line="240" w:before="0" w:after="0"/>
              <w:jc w:val="both"/>
              <w:rPr>
                <w:rFonts w:ascii="Arial" w:hAnsi="Arial" w:cs="Arial"/>
                <w:b/>
                <w:b/>
                <w:sz w:val="20"/>
                <w:szCs w:val="20"/>
              </w:rPr>
            </w:pPr>
            <w:r>
              <w:rPr>
                <w:rFonts w:cs="Arial" w:ascii="Arial" w:hAnsi="Arial"/>
                <w:b/>
                <w:sz w:val="20"/>
                <w:szCs w:val="20"/>
              </w:rPr>
            </w:r>
          </w:p>
        </w:tc>
        <w:tc>
          <w:tcPr>
            <w:tcW w:w="2162" w:type="dxa"/>
            <w:vMerge w:val="continue"/>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fill="auto" w:val="clear"/>
            <w:tcMar>
              <w:left w:w="107" w:type="dxa"/>
            </w:tcMar>
            <w:vAlign w:val="center"/>
          </w:tcPr>
          <w:p>
            <w:pPr>
              <w:pStyle w:val="Normal"/>
              <w:spacing w:lineRule="auto" w:line="240" w:before="0" w:after="0"/>
              <w:rPr>
                <w:rFonts w:ascii="Arial" w:hAnsi="Arial" w:cs="Arial"/>
                <w:b/>
                <w:b/>
                <w:sz w:val="20"/>
                <w:szCs w:val="20"/>
              </w:rPr>
            </w:pPr>
            <w:r>
              <w:rPr>
                <w:rFonts w:cs="Arial" w:ascii="Arial" w:hAnsi="Arial"/>
                <w:b/>
                <w:sz w:val="20"/>
                <w:szCs w:val="20"/>
              </w:rPr>
            </w:r>
          </w:p>
        </w:tc>
        <w:tc>
          <w:tcPr>
            <w:tcW w:w="2244" w:type="dxa"/>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fill="auto" w:val="clear"/>
            <w:tcMar>
              <w:left w:w="107" w:type="dxa"/>
            </w:tcMar>
            <w:vAlign w:val="center"/>
          </w:tcPr>
          <w:p>
            <w:pPr>
              <w:pStyle w:val="ListParagraph"/>
              <w:spacing w:lineRule="auto" w:line="240" w:before="0" w:after="0"/>
              <w:ind w:left="176" w:hanging="164"/>
              <w:contextualSpacing/>
              <w:rPr>
                <w:rFonts w:ascii="Arial" w:hAnsi="Arial" w:cs="Arial"/>
                <w:sz w:val="20"/>
                <w:szCs w:val="20"/>
              </w:rPr>
            </w:pPr>
            <w:r>
              <w:rPr>
                <w:rFonts w:cs="Arial" w:ascii="Arial" w:hAnsi="Arial"/>
                <w:spacing w:val="0"/>
                <w:sz w:val="20"/>
                <w:szCs w:val="20"/>
              </w:rPr>
              <w:t xml:space="preserve">** Distinguir, mediante experiencias sencillas, entre reacciones exotérmicas y endotérmicas. </w:t>
            </w:r>
            <w:r>
              <w:rPr>
                <w:rFonts w:cs="Arial" w:ascii="Arial" w:hAnsi="Arial"/>
                <w:b/>
                <w:spacing w:val="0"/>
                <w:sz w:val="20"/>
                <w:szCs w:val="20"/>
              </w:rPr>
              <w:t>(CMCT, SIEP)</w:t>
            </w:r>
          </w:p>
        </w:tc>
        <w:tc>
          <w:tcPr>
            <w:tcW w:w="2551" w:type="dxa"/>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fill="auto" w:val="clear"/>
            <w:tcMar>
              <w:left w:w="107" w:type="dxa"/>
            </w:tcMar>
            <w:vAlign w:val="center"/>
          </w:tcPr>
          <w:p>
            <w:pPr>
              <w:pStyle w:val="ListParagraph"/>
              <w:spacing w:lineRule="auto" w:line="240" w:before="0" w:after="0"/>
              <w:ind w:left="459" w:hanging="287"/>
              <w:contextualSpacing/>
              <w:rPr>
                <w:rFonts w:ascii="Arial" w:hAnsi="Arial" w:cs="Arial"/>
                <w:sz w:val="20"/>
                <w:szCs w:val="20"/>
              </w:rPr>
            </w:pPr>
            <w:r>
              <w:rPr>
                <w:rFonts w:cs="Arial" w:ascii="Arial" w:hAnsi="Arial"/>
                <w:sz w:val="20"/>
                <w:szCs w:val="20"/>
              </w:rPr>
              <w:t xml:space="preserve">** Interpreta situaciones cotidianas en las que la </w:t>
            </w:r>
            <w:r>
              <w:rPr>
                <w:rFonts w:cs="Arial" w:ascii="Arial" w:hAnsi="Arial"/>
                <w:spacing w:val="0"/>
                <w:sz w:val="20"/>
                <w:szCs w:val="20"/>
              </w:rPr>
              <w:t>temperatura</w:t>
            </w:r>
            <w:r>
              <w:rPr>
                <w:rFonts w:cs="Arial" w:ascii="Arial" w:hAnsi="Arial"/>
                <w:sz w:val="20"/>
                <w:szCs w:val="20"/>
              </w:rPr>
              <w:t xml:space="preserve"> influye significativamente en la velocidad de la reacción.</w:t>
            </w:r>
          </w:p>
          <w:p>
            <w:pPr>
              <w:pStyle w:val="Normal"/>
              <w:spacing w:lineRule="auto" w:line="240" w:before="0" w:after="0"/>
              <w:ind w:left="459" w:hanging="0"/>
              <w:rPr>
                <w:rFonts w:ascii="Arial" w:hAnsi="Arial" w:cs="Arial"/>
                <w:sz w:val="20"/>
                <w:szCs w:val="20"/>
              </w:rPr>
            </w:pPr>
            <w:r>
              <w:rPr>
                <w:rFonts w:cs="Arial" w:ascii="Arial" w:hAnsi="Arial"/>
                <w:sz w:val="20"/>
                <w:szCs w:val="20"/>
              </w:rPr>
            </w:r>
          </w:p>
        </w:tc>
        <w:tc>
          <w:tcPr>
            <w:tcW w:w="2574" w:type="dxa"/>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fill="auto" w:val="clear"/>
            <w:tcMar>
              <w:left w:w="107" w:type="dxa"/>
            </w:tcMar>
            <w:vAlign w:val="center"/>
          </w:tcPr>
          <w:p>
            <w:pPr>
              <w:pStyle w:val="ListParagraph"/>
              <w:numPr>
                <w:ilvl w:val="0"/>
                <w:numId w:val="2"/>
              </w:numPr>
              <w:spacing w:lineRule="auto" w:line="240" w:before="0" w:after="120"/>
              <w:ind w:left="125" w:hanging="123"/>
              <w:contextualSpacing/>
              <w:rPr>
                <w:rFonts w:ascii="Arial" w:hAnsi="Arial" w:cs="Arial"/>
                <w:sz w:val="20"/>
                <w:szCs w:val="20"/>
              </w:rPr>
            </w:pPr>
            <w:r>
              <w:rPr>
                <w:rFonts w:cs="Arial" w:ascii="Arial" w:hAnsi="Arial"/>
                <w:sz w:val="20"/>
                <w:szCs w:val="20"/>
              </w:rPr>
              <w:t>Distingue las reacciones exotérmicas y endotérmicas.</w:t>
            </w:r>
          </w:p>
          <w:p>
            <w:pPr>
              <w:pStyle w:val="ListParagraph"/>
              <w:spacing w:lineRule="auto" w:line="240" w:before="0" w:after="120"/>
              <w:ind w:left="125" w:hanging="0"/>
              <w:contextualSpacing/>
              <w:rPr>
                <w:rFonts w:ascii="Arial" w:hAnsi="Arial" w:cs="Arial"/>
                <w:b/>
                <w:b/>
                <w:sz w:val="20"/>
                <w:szCs w:val="20"/>
              </w:rPr>
            </w:pPr>
            <w:r>
              <w:rPr>
                <w:rFonts w:cs="Arial" w:ascii="Arial" w:hAnsi="Arial"/>
                <w:b/>
                <w:sz w:val="20"/>
                <w:szCs w:val="20"/>
              </w:rPr>
              <w:t>Act. 16, pág. 126.</w:t>
            </w:r>
          </w:p>
          <w:p>
            <w:pPr>
              <w:pStyle w:val="ListParagraph"/>
              <w:spacing w:lineRule="auto" w:line="240" w:before="0" w:after="120"/>
              <w:ind w:left="125" w:hanging="0"/>
              <w:contextualSpacing/>
              <w:rPr>
                <w:rFonts w:ascii="Arial" w:hAnsi="Arial" w:cs="Arial"/>
                <w:sz w:val="20"/>
                <w:szCs w:val="20"/>
              </w:rPr>
            </w:pPr>
            <w:r>
              <w:rPr>
                <w:rFonts w:cs="Arial" w:ascii="Arial" w:hAnsi="Arial"/>
                <w:b/>
                <w:sz w:val="20"/>
                <w:szCs w:val="20"/>
              </w:rPr>
              <w:t>Act. 42, 48 pág. 133.</w:t>
            </w:r>
          </w:p>
          <w:p>
            <w:pPr>
              <w:pStyle w:val="ListParagraph"/>
              <w:spacing w:lineRule="auto" w:line="240" w:before="0" w:after="0"/>
              <w:ind w:left="123" w:hanging="0"/>
              <w:contextualSpacing/>
              <w:rPr>
                <w:rFonts w:ascii="Arial" w:hAnsi="Arial" w:cs="Arial"/>
                <w:sz w:val="20"/>
                <w:szCs w:val="20"/>
              </w:rPr>
            </w:pPr>
            <w:r>
              <w:rPr>
                <w:rFonts w:cs="Arial" w:ascii="Arial" w:hAnsi="Arial"/>
                <w:sz w:val="20"/>
                <w:szCs w:val="20"/>
              </w:rPr>
            </w:r>
          </w:p>
        </w:tc>
      </w:tr>
    </w:tbl>
    <w:p>
      <w:pPr>
        <w:pStyle w:val="Normal"/>
        <w:rPr/>
      </w:pPr>
      <w:r>
        <w:rPr/>
      </w:r>
      <w:r>
        <w:br w:type="page"/>
      </w:r>
    </w:p>
    <w:tbl>
      <w:tblPr>
        <w:tblStyle w:val="Tablaconcuadrcula"/>
        <w:tblW w:w="10762" w:type="dxa"/>
        <w:jc w:val="left"/>
        <w:tblInd w:w="0" w:type="dxa"/>
        <w:tblCellMar>
          <w:top w:w="0" w:type="dxa"/>
          <w:left w:w="107" w:type="dxa"/>
          <w:bottom w:w="0" w:type="dxa"/>
          <w:right w:w="108" w:type="dxa"/>
        </w:tblCellMar>
        <w:tblLook w:lastRow="0" w:firstRow="1" w:val="04a0" w:noVBand="1" w:firstColumn="1" w:noHBand="0" w:lastColumn="0"/>
      </w:tblPr>
      <w:tblGrid>
        <w:gridCol w:w="1231"/>
        <w:gridCol w:w="2162"/>
        <w:gridCol w:w="2244"/>
        <w:gridCol w:w="2551"/>
        <w:gridCol w:w="2574"/>
      </w:tblGrid>
      <w:tr>
        <w:trPr/>
        <w:tc>
          <w:tcPr>
            <w:tcW w:w="1231" w:type="dxa"/>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color="auto" w:fill="BFBFBF" w:themeFill="background1" w:themeFillShade="bf" w:val="clear"/>
            <w:tcMar>
              <w:left w:w="107" w:type="dxa"/>
            </w:tcMar>
            <w:vAlign w:val="center"/>
          </w:tcPr>
          <w:p>
            <w:pPr>
              <w:pStyle w:val="Normal"/>
              <w:pageBreakBefore/>
              <w:spacing w:lineRule="auto" w:line="240" w:before="0" w:after="0"/>
              <w:jc w:val="center"/>
              <w:rPr>
                <w:rFonts w:ascii="Arial" w:hAnsi="Arial" w:cs="Arial"/>
                <w:b/>
                <w:b/>
                <w:color w:val="FFFFFF" w:themeColor="background1"/>
                <w:sz w:val="20"/>
                <w:szCs w:val="20"/>
              </w:rPr>
            </w:pPr>
            <w:r>
              <w:rPr>
                <w:rFonts w:cs="Arial" w:ascii="Arial" w:hAnsi="Arial"/>
                <w:b/>
                <w:color w:val="FFFFFF" w:themeColor="background1"/>
                <w:sz w:val="20"/>
                <w:szCs w:val="20"/>
              </w:rPr>
              <w:t>BLOQUE</w:t>
            </w:r>
          </w:p>
        </w:tc>
        <w:tc>
          <w:tcPr>
            <w:tcW w:w="2162" w:type="dxa"/>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color="auto" w:fill="BFBFBF" w:themeFill="background1" w:themeFillShade="bf" w:val="clear"/>
            <w:tcMar>
              <w:left w:w="107" w:type="dxa"/>
            </w:tcMar>
            <w:vAlign w:val="center"/>
          </w:tcPr>
          <w:p>
            <w:pPr>
              <w:pStyle w:val="Normal"/>
              <w:spacing w:lineRule="auto" w:line="240" w:before="0" w:after="0"/>
              <w:jc w:val="center"/>
              <w:rPr>
                <w:rFonts w:ascii="Arial" w:hAnsi="Arial" w:cs="Arial"/>
                <w:b/>
                <w:b/>
                <w:color w:val="FFFFFF" w:themeColor="background1"/>
                <w:sz w:val="20"/>
                <w:szCs w:val="20"/>
              </w:rPr>
            </w:pPr>
            <w:r>
              <w:rPr>
                <w:rFonts w:cs="Arial" w:ascii="Arial" w:hAnsi="Arial"/>
                <w:b/>
                <w:color w:val="FFFFFF" w:themeColor="background1"/>
                <w:sz w:val="20"/>
                <w:szCs w:val="20"/>
              </w:rPr>
              <w:t>CONTENIDOS</w:t>
            </w:r>
          </w:p>
        </w:tc>
        <w:tc>
          <w:tcPr>
            <w:tcW w:w="2244" w:type="dxa"/>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color="auto" w:fill="BFBFBF" w:themeFill="background1" w:themeFillShade="bf" w:val="clear"/>
            <w:tcMar>
              <w:left w:w="107" w:type="dxa"/>
            </w:tcMar>
            <w:vAlign w:val="center"/>
          </w:tcPr>
          <w:p>
            <w:pPr>
              <w:pStyle w:val="Normal"/>
              <w:spacing w:lineRule="auto" w:line="240" w:before="0" w:after="0"/>
              <w:jc w:val="center"/>
              <w:rPr>
                <w:rFonts w:ascii="Arial" w:hAnsi="Arial" w:cs="Arial"/>
                <w:b/>
                <w:b/>
                <w:color w:val="FFFFFF" w:themeColor="background1"/>
                <w:sz w:val="20"/>
                <w:szCs w:val="20"/>
              </w:rPr>
            </w:pPr>
            <w:r>
              <w:rPr>
                <w:rFonts w:cs="Arial" w:ascii="Arial" w:hAnsi="Arial"/>
                <w:b/>
                <w:color w:val="FFFFFF" w:themeColor="background1"/>
                <w:sz w:val="20"/>
                <w:szCs w:val="20"/>
              </w:rPr>
              <w:t>CRITERIOS DE EVALUACIÓN</w:t>
            </w:r>
          </w:p>
        </w:tc>
        <w:tc>
          <w:tcPr>
            <w:tcW w:w="2551" w:type="dxa"/>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color="auto" w:fill="BFBFBF" w:themeFill="background1" w:themeFillShade="bf" w:val="clear"/>
            <w:tcMar>
              <w:left w:w="107" w:type="dxa"/>
            </w:tcMar>
            <w:vAlign w:val="center"/>
          </w:tcPr>
          <w:p>
            <w:pPr>
              <w:pStyle w:val="Normal"/>
              <w:spacing w:lineRule="auto" w:line="240" w:before="0" w:after="0"/>
              <w:jc w:val="center"/>
              <w:rPr>
                <w:rFonts w:ascii="Arial" w:hAnsi="Arial" w:cs="Arial"/>
                <w:b/>
                <w:b/>
                <w:color w:val="FFFFFF" w:themeColor="background1"/>
                <w:sz w:val="20"/>
                <w:szCs w:val="20"/>
              </w:rPr>
            </w:pPr>
            <w:r>
              <w:rPr>
                <w:rFonts w:cs="Arial" w:ascii="Arial" w:hAnsi="Arial"/>
                <w:b/>
                <w:color w:val="FFFFFF" w:themeColor="background1"/>
                <w:sz w:val="20"/>
                <w:szCs w:val="20"/>
              </w:rPr>
              <w:t>ESTÁNDARES DE APRENDIZAJE*</w:t>
            </w:r>
          </w:p>
        </w:tc>
        <w:tc>
          <w:tcPr>
            <w:tcW w:w="2574" w:type="dxa"/>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color="auto" w:fill="BFBFBF" w:themeFill="background1" w:themeFillShade="bf" w:val="clear"/>
            <w:tcMar>
              <w:left w:w="107" w:type="dxa"/>
            </w:tcMar>
            <w:vAlign w:val="center"/>
          </w:tcPr>
          <w:p>
            <w:pPr>
              <w:pStyle w:val="Normal"/>
              <w:spacing w:lineRule="auto" w:line="240" w:before="0" w:after="0"/>
              <w:jc w:val="center"/>
              <w:rPr>
                <w:rFonts w:ascii="Arial" w:hAnsi="Arial" w:cs="Arial"/>
                <w:b/>
                <w:b/>
                <w:color w:val="FFFFFF" w:themeColor="background1"/>
                <w:sz w:val="20"/>
                <w:szCs w:val="20"/>
              </w:rPr>
            </w:pPr>
            <w:r>
              <w:rPr>
                <w:rFonts w:cs="Arial" w:ascii="Arial" w:hAnsi="Arial"/>
                <w:b/>
                <w:color w:val="FFFFFF" w:themeColor="background1"/>
                <w:sz w:val="20"/>
                <w:szCs w:val="20"/>
              </w:rPr>
              <w:t>ACTIVIDADES</w:t>
            </w:r>
          </w:p>
        </w:tc>
      </w:tr>
      <w:tr>
        <w:trPr>
          <w:trHeight w:val="2070" w:hRule="atLeast"/>
          <w:cantSplit w:val="true"/>
        </w:trPr>
        <w:tc>
          <w:tcPr>
            <w:tcW w:w="1231" w:type="dxa"/>
            <w:vMerge w:val="restart"/>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fill="auto" w:val="clear"/>
            <w:tcMar>
              <w:left w:w="107" w:type="dxa"/>
            </w:tcMar>
            <w:textDirection w:val="btLr"/>
            <w:vAlign w:val="center"/>
          </w:tcPr>
          <w:p>
            <w:pPr>
              <w:pStyle w:val="Normal"/>
              <w:spacing w:lineRule="auto" w:line="240" w:before="0" w:after="0"/>
              <w:ind w:left="113" w:right="113" w:hanging="0"/>
              <w:jc w:val="center"/>
              <w:rPr>
                <w:rFonts w:ascii="Arial" w:hAnsi="Arial" w:cs="Arial"/>
                <w:b/>
                <w:b/>
                <w:sz w:val="20"/>
                <w:szCs w:val="20"/>
              </w:rPr>
            </w:pPr>
            <w:r>
              <w:rPr>
                <w:rFonts w:cs="Arial" w:ascii="Arial" w:hAnsi="Arial"/>
                <w:b/>
                <w:sz w:val="20"/>
                <w:szCs w:val="20"/>
              </w:rPr>
              <w:t>Bloque 1. La actividad científica</w:t>
            </w:r>
          </w:p>
        </w:tc>
        <w:tc>
          <w:tcPr>
            <w:tcW w:w="2162" w:type="dxa"/>
            <w:tcBorders>
              <w:top w:val="single" w:sz="12" w:space="0" w:color="808080"/>
              <w:left w:val="single" w:sz="12" w:space="0" w:color="808080"/>
              <w:bottom w:val="nil"/>
              <w:right w:val="single" w:sz="12" w:space="0" w:color="808080"/>
              <w:insideH w:val="nil"/>
              <w:insideV w:val="single" w:sz="12" w:space="0" w:color="808080"/>
            </w:tcBorders>
            <w:shd w:fill="auto" w:val="clear"/>
            <w:tcMar>
              <w:left w:w="107" w:type="dxa"/>
            </w:tcMar>
            <w:vAlign w:val="center"/>
          </w:tcPr>
          <w:p>
            <w:pPr>
              <w:pStyle w:val="Normal"/>
              <w:spacing w:lineRule="auto" w:line="240" w:before="0" w:after="0"/>
              <w:rPr>
                <w:rFonts w:ascii="Arial" w:hAnsi="Arial" w:cs="Arial"/>
                <w:sz w:val="20"/>
                <w:szCs w:val="20"/>
              </w:rPr>
            </w:pPr>
            <w:r>
              <w:rPr>
                <w:rFonts w:cs="Arial" w:ascii="Arial" w:hAnsi="Arial"/>
                <w:b/>
                <w:sz w:val="20"/>
                <w:szCs w:val="20"/>
              </w:rPr>
              <w:t>El método científico: sus etapas</w:t>
            </w:r>
          </w:p>
        </w:tc>
        <w:tc>
          <w:tcPr>
            <w:tcW w:w="2244" w:type="dxa"/>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fill="auto" w:val="clear"/>
            <w:tcMar>
              <w:left w:w="107" w:type="dxa"/>
            </w:tcMar>
            <w:vAlign w:val="center"/>
          </w:tcPr>
          <w:p>
            <w:pPr>
              <w:pStyle w:val="Normal"/>
              <w:spacing w:lineRule="auto" w:line="240" w:before="0" w:after="0"/>
              <w:rPr>
                <w:b/>
                <w:b/>
              </w:rPr>
            </w:pPr>
            <w:r>
              <w:rPr>
                <w:rFonts w:cs="Arial" w:ascii="Arial" w:hAnsi="Arial"/>
                <w:spacing w:val="0"/>
                <w:sz w:val="20"/>
                <w:szCs w:val="20"/>
              </w:rPr>
              <w:t xml:space="preserve">1.2. Valorar la investigación científica y su impacto en la industria y en el desarrollo de la sociedad. </w:t>
            </w:r>
            <w:r>
              <w:rPr>
                <w:b/>
              </w:rPr>
              <w:t xml:space="preserve">(CCL, CSC). </w:t>
            </w:r>
          </w:p>
          <w:p>
            <w:pPr>
              <w:pStyle w:val="ListParagraph"/>
              <w:spacing w:lineRule="auto" w:line="240" w:before="0" w:after="0"/>
              <w:ind w:left="176" w:hanging="0"/>
              <w:contextualSpacing/>
              <w:rPr>
                <w:rFonts w:ascii="Arial" w:hAnsi="Arial" w:cs="Arial"/>
                <w:spacing w:val="0"/>
                <w:sz w:val="20"/>
                <w:szCs w:val="20"/>
              </w:rPr>
            </w:pPr>
            <w:r>
              <w:rPr>
                <w:rFonts w:cs="Arial" w:ascii="Arial" w:hAnsi="Arial"/>
                <w:spacing w:val="0"/>
                <w:sz w:val="20"/>
                <w:szCs w:val="20"/>
              </w:rPr>
            </w:r>
          </w:p>
        </w:tc>
        <w:tc>
          <w:tcPr>
            <w:tcW w:w="2551" w:type="dxa"/>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fill="auto" w:val="clear"/>
            <w:tcMar>
              <w:left w:w="107" w:type="dxa"/>
            </w:tcMar>
            <w:vAlign w:val="center"/>
          </w:tcPr>
          <w:p>
            <w:pPr>
              <w:pStyle w:val="Normal"/>
              <w:spacing w:lineRule="auto" w:line="240" w:before="0" w:after="0"/>
              <w:rPr>
                <w:rFonts w:ascii="Arial" w:hAnsi="Arial" w:cs="Arial"/>
                <w:sz w:val="20"/>
                <w:szCs w:val="20"/>
              </w:rPr>
            </w:pPr>
            <w:r>
              <w:rPr>
                <w:rFonts w:cs="Arial" w:ascii="Arial" w:hAnsi="Arial"/>
                <w:sz w:val="20"/>
                <w:szCs w:val="20"/>
              </w:rPr>
              <w:t xml:space="preserve">1.1.1.Relaciona la investigación científica con las aplicaciones tecnológicas en la vida cotidiana. </w:t>
            </w:r>
          </w:p>
          <w:p>
            <w:pPr>
              <w:pStyle w:val="Normal"/>
              <w:spacing w:lineRule="auto" w:line="240" w:before="0" w:after="0"/>
              <w:ind w:left="459" w:hanging="1"/>
              <w:rPr>
                <w:rFonts w:ascii="Arial" w:hAnsi="Arial" w:cs="Arial"/>
                <w:b/>
                <w:b/>
                <w:sz w:val="20"/>
                <w:szCs w:val="20"/>
              </w:rPr>
            </w:pPr>
            <w:r>
              <w:rPr>
                <w:rFonts w:cs="Arial" w:ascii="Arial" w:hAnsi="Arial"/>
                <w:b/>
                <w:sz w:val="20"/>
                <w:szCs w:val="20"/>
              </w:rPr>
            </w:r>
          </w:p>
        </w:tc>
        <w:tc>
          <w:tcPr>
            <w:tcW w:w="2574" w:type="dxa"/>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fill="auto" w:val="clear"/>
            <w:tcMar>
              <w:left w:w="107" w:type="dxa"/>
            </w:tcMar>
            <w:vAlign w:val="center"/>
          </w:tcPr>
          <w:p>
            <w:pPr>
              <w:pStyle w:val="ListParagraph"/>
              <w:numPr>
                <w:ilvl w:val="0"/>
                <w:numId w:val="2"/>
              </w:numPr>
              <w:spacing w:lineRule="auto" w:line="240" w:before="0" w:after="0"/>
              <w:ind w:left="125" w:hanging="125"/>
              <w:contextualSpacing/>
              <w:rPr>
                <w:rFonts w:ascii="Arial" w:hAnsi="Arial" w:cs="Arial"/>
                <w:sz w:val="20"/>
                <w:szCs w:val="20"/>
              </w:rPr>
            </w:pPr>
            <w:r>
              <w:rPr>
                <w:rFonts w:cs="Arial" w:ascii="Arial" w:hAnsi="Arial"/>
                <w:sz w:val="20"/>
                <w:szCs w:val="20"/>
              </w:rPr>
              <w:t>Valora la investigación científica y sus aportes en la industria y la sociedad.</w:t>
            </w:r>
          </w:p>
          <w:p>
            <w:pPr>
              <w:pStyle w:val="ListParagraph"/>
              <w:spacing w:lineRule="auto" w:line="240" w:before="0" w:after="0"/>
              <w:ind w:left="176" w:hanging="0"/>
              <w:contextualSpacing/>
              <w:rPr>
                <w:rFonts w:ascii="Arial" w:hAnsi="Arial" w:cs="Arial"/>
                <w:b/>
                <w:b/>
                <w:spacing w:val="0"/>
                <w:sz w:val="20"/>
                <w:szCs w:val="20"/>
                <w:lang w:val="en-US"/>
              </w:rPr>
            </w:pPr>
            <w:r>
              <w:rPr>
                <w:rFonts w:cs="Arial" w:ascii="Arial" w:hAnsi="Arial"/>
                <w:b/>
                <w:spacing w:val="0"/>
                <w:sz w:val="20"/>
                <w:szCs w:val="20"/>
                <w:lang w:val="en-US"/>
              </w:rPr>
              <w:t>Act. 10, pág. 123.</w:t>
            </w:r>
          </w:p>
          <w:p>
            <w:pPr>
              <w:pStyle w:val="ListParagraph"/>
              <w:spacing w:lineRule="auto" w:line="240" w:before="0" w:after="0"/>
              <w:ind w:left="176" w:hanging="0"/>
              <w:contextualSpacing/>
              <w:rPr>
                <w:rFonts w:ascii="Arial" w:hAnsi="Arial" w:cs="Arial"/>
                <w:b/>
                <w:b/>
                <w:sz w:val="20"/>
                <w:szCs w:val="20"/>
                <w:lang w:val="en-US"/>
              </w:rPr>
            </w:pPr>
            <w:r>
              <w:rPr>
                <w:rFonts w:cs="Arial" w:ascii="Arial" w:hAnsi="Arial"/>
                <w:b/>
                <w:sz w:val="20"/>
                <w:szCs w:val="20"/>
                <w:lang w:val="en-US"/>
              </w:rPr>
              <w:t>Act. 18, pág. 127.</w:t>
            </w:r>
          </w:p>
          <w:p>
            <w:pPr>
              <w:pStyle w:val="ListParagraph"/>
              <w:spacing w:lineRule="auto" w:line="240" w:before="0" w:after="0"/>
              <w:ind w:left="176" w:hanging="0"/>
              <w:contextualSpacing/>
              <w:rPr>
                <w:rFonts w:ascii="Arial" w:hAnsi="Arial" w:cs="Arial"/>
                <w:b/>
                <w:b/>
                <w:spacing w:val="0"/>
                <w:sz w:val="20"/>
                <w:szCs w:val="20"/>
                <w:lang w:val="en-US"/>
              </w:rPr>
            </w:pPr>
            <w:r>
              <w:rPr>
                <w:rFonts w:cs="Arial" w:ascii="Arial" w:hAnsi="Arial"/>
                <w:b/>
                <w:spacing w:val="0"/>
                <w:sz w:val="20"/>
                <w:szCs w:val="20"/>
                <w:lang w:val="en-US"/>
              </w:rPr>
              <w:t>Act. 28, pág. 130.</w:t>
            </w:r>
          </w:p>
          <w:p>
            <w:pPr>
              <w:pStyle w:val="ListParagraph"/>
              <w:spacing w:lineRule="auto" w:line="240" w:before="0" w:after="0"/>
              <w:ind w:left="176" w:hanging="0"/>
              <w:contextualSpacing/>
              <w:rPr>
                <w:rFonts w:ascii="Arial" w:hAnsi="Arial" w:cs="Arial"/>
                <w:b/>
                <w:b/>
                <w:sz w:val="20"/>
                <w:szCs w:val="20"/>
                <w:lang w:val="en-US"/>
              </w:rPr>
            </w:pPr>
            <w:r>
              <w:rPr>
                <w:rFonts w:cs="Arial" w:ascii="Arial" w:hAnsi="Arial"/>
                <w:b/>
                <w:sz w:val="20"/>
                <w:szCs w:val="20"/>
                <w:lang w:val="en-US"/>
              </w:rPr>
              <w:t>Act. 41, pág. 132.</w:t>
            </w:r>
          </w:p>
          <w:p>
            <w:pPr>
              <w:pStyle w:val="ListParagraph"/>
              <w:spacing w:lineRule="auto" w:line="240" w:before="0" w:after="0"/>
              <w:ind w:left="176" w:hanging="0"/>
              <w:contextualSpacing/>
              <w:rPr>
                <w:rFonts w:ascii="Arial" w:hAnsi="Arial" w:cs="Arial"/>
                <w:sz w:val="20"/>
                <w:szCs w:val="20"/>
                <w:lang w:val="en-US"/>
              </w:rPr>
            </w:pPr>
            <w:r>
              <w:rPr>
                <w:rFonts w:cs="Arial" w:ascii="Arial" w:hAnsi="Arial"/>
                <w:b/>
                <w:sz w:val="20"/>
                <w:szCs w:val="20"/>
                <w:lang w:val="en-US"/>
              </w:rPr>
              <w:t>Act. 46 y 50, pág. 133.</w:t>
            </w:r>
          </w:p>
        </w:tc>
      </w:tr>
      <w:tr>
        <w:trPr>
          <w:trHeight w:val="3450" w:hRule="atLeast"/>
          <w:cantSplit w:val="true"/>
        </w:trPr>
        <w:tc>
          <w:tcPr>
            <w:tcW w:w="1231" w:type="dxa"/>
            <w:vMerge w:val="continue"/>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fill="auto" w:val="clear"/>
            <w:tcMar>
              <w:left w:w="107" w:type="dxa"/>
            </w:tcMar>
            <w:textDirection w:val="btLr"/>
            <w:vAlign w:val="center"/>
          </w:tcPr>
          <w:p>
            <w:pPr>
              <w:pStyle w:val="Normal"/>
              <w:spacing w:lineRule="auto" w:line="240" w:before="0" w:after="0"/>
              <w:ind w:left="113" w:right="113" w:hanging="0"/>
              <w:jc w:val="center"/>
              <w:rPr>
                <w:rFonts w:ascii="Arial" w:hAnsi="Arial" w:cs="Arial"/>
                <w:b/>
                <w:b/>
                <w:sz w:val="20"/>
                <w:szCs w:val="20"/>
                <w:lang w:val="en-US"/>
              </w:rPr>
            </w:pPr>
            <w:r>
              <w:rPr>
                <w:rFonts w:cs="Arial" w:ascii="Arial" w:hAnsi="Arial"/>
                <w:b/>
                <w:sz w:val="20"/>
                <w:szCs w:val="20"/>
                <w:lang w:val="en-US"/>
              </w:rPr>
            </w:r>
          </w:p>
        </w:tc>
        <w:tc>
          <w:tcPr>
            <w:tcW w:w="2162" w:type="dxa"/>
            <w:tcBorders>
              <w:top w:val="nil"/>
              <w:left w:val="single" w:sz="12" w:space="0" w:color="808080"/>
              <w:bottom w:val="nil"/>
              <w:right w:val="single" w:sz="12" w:space="0" w:color="808080"/>
              <w:insideH w:val="nil"/>
              <w:insideV w:val="single" w:sz="12" w:space="0" w:color="808080"/>
            </w:tcBorders>
            <w:shd w:fill="auto" w:val="clear"/>
            <w:tcMar>
              <w:left w:w="107" w:type="dxa"/>
            </w:tcMar>
            <w:vAlign w:val="center"/>
          </w:tcPr>
          <w:p>
            <w:pPr>
              <w:pStyle w:val="Normal"/>
              <w:spacing w:lineRule="auto" w:line="240" w:before="0" w:after="0"/>
              <w:rPr>
                <w:rFonts w:ascii="Arial" w:hAnsi="Arial" w:cs="Arial"/>
                <w:b/>
                <w:b/>
                <w:sz w:val="20"/>
                <w:szCs w:val="20"/>
              </w:rPr>
            </w:pPr>
            <w:r>
              <w:rPr>
                <w:rFonts w:cs="Arial" w:ascii="Arial" w:hAnsi="Arial"/>
                <w:b/>
                <w:sz w:val="20"/>
                <w:szCs w:val="20"/>
              </w:rPr>
              <w:t>Medida de magnitudes. Sistema Internacional de Unidades. Notación científica</w:t>
            </w:r>
          </w:p>
          <w:p>
            <w:pPr>
              <w:pStyle w:val="Normal"/>
              <w:spacing w:lineRule="auto" w:line="240" w:before="0" w:after="0"/>
              <w:rPr>
                <w:rFonts w:ascii="Arial" w:hAnsi="Arial" w:cs="Arial"/>
                <w:b/>
                <w:b/>
                <w:sz w:val="20"/>
                <w:szCs w:val="20"/>
              </w:rPr>
            </w:pPr>
            <w:r>
              <w:rPr>
                <w:rFonts w:cs="Arial" w:ascii="Arial" w:hAnsi="Arial"/>
                <w:b/>
                <w:sz w:val="20"/>
                <w:szCs w:val="20"/>
              </w:rPr>
            </w:r>
          </w:p>
        </w:tc>
        <w:tc>
          <w:tcPr>
            <w:tcW w:w="2244" w:type="dxa"/>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fill="auto" w:val="clear"/>
            <w:tcMar>
              <w:left w:w="107" w:type="dxa"/>
            </w:tcMar>
            <w:vAlign w:val="center"/>
          </w:tcPr>
          <w:p>
            <w:pPr>
              <w:pStyle w:val="Normal"/>
              <w:spacing w:lineRule="auto" w:line="240" w:before="0" w:after="0"/>
              <w:rPr>
                <w:rFonts w:ascii="Arial" w:hAnsi="Arial" w:cs="Arial"/>
                <w:spacing w:val="0"/>
                <w:sz w:val="20"/>
                <w:szCs w:val="20"/>
              </w:rPr>
            </w:pPr>
            <w:r>
              <w:rPr>
                <w:rFonts w:cs="Arial" w:ascii="Arial" w:hAnsi="Arial"/>
                <w:spacing w:val="0"/>
                <w:sz w:val="20"/>
                <w:szCs w:val="20"/>
              </w:rPr>
              <w:t xml:space="preserve">1.3. Conocer los procedimientos científicos para determinar magnitudes </w:t>
            </w:r>
            <w:r>
              <w:rPr>
                <w:b/>
              </w:rPr>
              <w:t>(CMCT).</w:t>
            </w:r>
            <w:r>
              <w:rPr/>
              <w:t xml:space="preserve"> </w:t>
            </w:r>
          </w:p>
          <w:p>
            <w:pPr>
              <w:pStyle w:val="ListParagraph"/>
              <w:spacing w:lineRule="auto" w:line="240" w:before="0" w:after="0"/>
              <w:ind w:left="176" w:hanging="0"/>
              <w:contextualSpacing/>
              <w:rPr>
                <w:rFonts w:ascii="Arial" w:hAnsi="Arial" w:cs="Arial"/>
                <w:spacing w:val="0"/>
                <w:sz w:val="20"/>
                <w:szCs w:val="20"/>
              </w:rPr>
            </w:pPr>
            <w:r>
              <w:rPr>
                <w:rFonts w:cs="Arial" w:ascii="Arial" w:hAnsi="Arial"/>
                <w:spacing w:val="0"/>
                <w:sz w:val="20"/>
                <w:szCs w:val="20"/>
              </w:rPr>
            </w:r>
          </w:p>
        </w:tc>
        <w:tc>
          <w:tcPr>
            <w:tcW w:w="2551" w:type="dxa"/>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fill="auto" w:val="clear"/>
            <w:tcMar>
              <w:left w:w="107" w:type="dxa"/>
            </w:tcMar>
            <w:vAlign w:val="center"/>
          </w:tcPr>
          <w:p>
            <w:pPr>
              <w:pStyle w:val="Normal"/>
              <w:spacing w:lineRule="auto" w:line="240" w:before="0" w:after="0"/>
              <w:ind w:left="314" w:hanging="314"/>
              <w:rPr>
                <w:rFonts w:ascii="Arial" w:hAnsi="Arial" w:cs="Arial"/>
                <w:sz w:val="20"/>
                <w:szCs w:val="20"/>
              </w:rPr>
            </w:pPr>
            <w:r>
              <w:rPr>
                <w:rFonts w:cs="Arial" w:ascii="Arial" w:hAnsi="Arial"/>
                <w:sz w:val="20"/>
                <w:szCs w:val="20"/>
              </w:rPr>
              <w:t>1.3.2. Establece relaciones entre magnitudes y unidades utilizando, preferentemente, el Sistema Internacional de Unidades y la notación científica para expresar los resultados.</w:t>
            </w:r>
          </w:p>
        </w:tc>
        <w:tc>
          <w:tcPr>
            <w:tcW w:w="2574" w:type="dxa"/>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fill="auto" w:val="clear"/>
            <w:tcMar>
              <w:left w:w="107" w:type="dxa"/>
            </w:tcMar>
            <w:vAlign w:val="center"/>
          </w:tcPr>
          <w:p>
            <w:pPr>
              <w:pStyle w:val="ListParagraph"/>
              <w:numPr>
                <w:ilvl w:val="0"/>
                <w:numId w:val="2"/>
              </w:numPr>
              <w:spacing w:lineRule="auto" w:line="240" w:before="0" w:after="0"/>
              <w:ind w:left="125" w:hanging="125"/>
              <w:contextualSpacing/>
              <w:rPr>
                <w:rFonts w:ascii="Arial" w:hAnsi="Arial" w:cs="Arial"/>
                <w:sz w:val="20"/>
                <w:szCs w:val="20"/>
              </w:rPr>
            </w:pPr>
            <w:r>
              <w:rPr>
                <w:rFonts w:cs="Arial" w:ascii="Arial" w:hAnsi="Arial"/>
                <w:sz w:val="20"/>
                <w:szCs w:val="20"/>
              </w:rPr>
              <w:t>Aplica los procedimientos científicos para aplicar y utilizar las magnitudes de la unidad.</w:t>
            </w:r>
          </w:p>
          <w:p>
            <w:pPr>
              <w:pStyle w:val="ListParagraph"/>
              <w:spacing w:lineRule="auto" w:line="240" w:before="0" w:after="0"/>
              <w:ind w:left="125" w:hanging="0"/>
              <w:contextualSpacing/>
              <w:rPr>
                <w:rFonts w:ascii="Arial" w:hAnsi="Arial" w:cs="Arial"/>
                <w:sz w:val="20"/>
                <w:szCs w:val="20"/>
              </w:rPr>
            </w:pPr>
            <w:r>
              <w:rPr>
                <w:rFonts w:cs="Arial" w:ascii="Arial" w:hAnsi="Arial"/>
                <w:b/>
                <w:spacing w:val="0"/>
                <w:sz w:val="20"/>
                <w:szCs w:val="20"/>
              </w:rPr>
              <w:t xml:space="preserve">Act. 7, </w:t>
            </w:r>
            <w:r>
              <w:rPr>
                <w:rFonts w:cs="Arial" w:ascii="Arial" w:hAnsi="Arial"/>
                <w:b/>
                <w:spacing w:val="0"/>
                <w:sz w:val="20"/>
                <w:szCs w:val="20"/>
                <w:lang w:val="en-US"/>
              </w:rPr>
              <w:t>pág</w:t>
            </w:r>
            <w:r>
              <w:rPr>
                <w:rFonts w:cs="Arial" w:ascii="Arial" w:hAnsi="Arial"/>
                <w:b/>
                <w:spacing w:val="0"/>
                <w:sz w:val="20"/>
                <w:szCs w:val="20"/>
              </w:rPr>
              <w:t>. 121.</w:t>
            </w:r>
          </w:p>
        </w:tc>
      </w:tr>
      <w:tr>
        <w:trPr>
          <w:trHeight w:val="5490" w:hRule="atLeast"/>
          <w:cantSplit w:val="true"/>
        </w:trPr>
        <w:tc>
          <w:tcPr>
            <w:tcW w:w="1231" w:type="dxa"/>
            <w:vMerge w:val="continue"/>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fill="auto" w:val="clear"/>
            <w:tcMar>
              <w:left w:w="107" w:type="dxa"/>
            </w:tcMar>
            <w:textDirection w:val="btLr"/>
            <w:vAlign w:val="center"/>
          </w:tcPr>
          <w:p>
            <w:pPr>
              <w:pStyle w:val="Normal"/>
              <w:spacing w:lineRule="auto" w:line="240" w:before="0" w:after="0"/>
              <w:ind w:left="113" w:right="113" w:hanging="0"/>
              <w:jc w:val="center"/>
              <w:rPr>
                <w:rFonts w:ascii="Arial" w:hAnsi="Arial" w:cs="Arial"/>
                <w:b/>
                <w:b/>
                <w:sz w:val="20"/>
                <w:szCs w:val="20"/>
              </w:rPr>
            </w:pPr>
            <w:r>
              <w:rPr>
                <w:rFonts w:cs="Arial" w:ascii="Arial" w:hAnsi="Arial"/>
                <w:b/>
                <w:sz w:val="20"/>
                <w:szCs w:val="20"/>
              </w:rPr>
            </w:r>
          </w:p>
        </w:tc>
        <w:tc>
          <w:tcPr>
            <w:tcW w:w="2162" w:type="dxa"/>
            <w:tcBorders>
              <w:top w:val="nil"/>
              <w:left w:val="single" w:sz="12" w:space="0" w:color="808080"/>
              <w:bottom w:val="single" w:sz="12" w:space="0" w:color="808080"/>
              <w:right w:val="single" w:sz="12" w:space="0" w:color="808080"/>
              <w:insideH w:val="single" w:sz="12" w:space="0" w:color="808080"/>
              <w:insideV w:val="single" w:sz="12" w:space="0" w:color="808080"/>
            </w:tcBorders>
            <w:shd w:fill="auto" w:val="clear"/>
            <w:tcMar>
              <w:left w:w="107" w:type="dxa"/>
            </w:tcMar>
            <w:vAlign w:val="center"/>
          </w:tcPr>
          <w:p>
            <w:pPr>
              <w:pStyle w:val="Normal"/>
              <w:spacing w:lineRule="auto" w:line="240" w:before="0" w:after="0"/>
              <w:rPr>
                <w:rFonts w:ascii="Arial" w:hAnsi="Arial" w:cs="Arial"/>
                <w:b/>
                <w:b/>
                <w:sz w:val="20"/>
                <w:szCs w:val="20"/>
              </w:rPr>
            </w:pPr>
            <w:r>
              <w:rPr>
                <w:rFonts w:cs="Arial" w:ascii="Arial" w:hAnsi="Arial"/>
                <w:b/>
                <w:sz w:val="20"/>
                <w:szCs w:val="20"/>
              </w:rPr>
              <w:t>Utilización de las Tecnologías de la Información y la Comunicación</w:t>
            </w:r>
          </w:p>
          <w:p>
            <w:pPr>
              <w:pStyle w:val="Normal"/>
              <w:spacing w:lineRule="auto" w:line="240" w:before="0" w:after="0"/>
              <w:rPr>
                <w:rFonts w:ascii="Arial" w:hAnsi="Arial" w:cs="Arial"/>
                <w:b/>
                <w:b/>
                <w:sz w:val="20"/>
                <w:szCs w:val="20"/>
              </w:rPr>
            </w:pPr>
            <w:r>
              <w:rPr>
                <w:rFonts w:cs="Arial" w:ascii="Arial" w:hAnsi="Arial"/>
                <w:b/>
                <w:sz w:val="20"/>
                <w:szCs w:val="20"/>
              </w:rPr>
            </w:r>
          </w:p>
          <w:p>
            <w:pPr>
              <w:pStyle w:val="Normal"/>
              <w:spacing w:lineRule="auto" w:line="240" w:before="0" w:after="0"/>
              <w:rPr>
                <w:rFonts w:ascii="Arial" w:hAnsi="Arial" w:cs="Arial"/>
                <w:b/>
                <w:b/>
                <w:sz w:val="20"/>
                <w:szCs w:val="20"/>
              </w:rPr>
            </w:pPr>
            <w:r>
              <w:rPr>
                <w:rFonts w:cs="Arial" w:ascii="Arial" w:hAnsi="Arial"/>
                <w:b/>
                <w:sz w:val="20"/>
                <w:szCs w:val="20"/>
              </w:rPr>
              <w:t>Proyecto de investigación</w:t>
            </w:r>
          </w:p>
        </w:tc>
        <w:tc>
          <w:tcPr>
            <w:tcW w:w="2244" w:type="dxa"/>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fill="auto" w:val="clear"/>
            <w:tcMar>
              <w:left w:w="107" w:type="dxa"/>
            </w:tcMar>
            <w:vAlign w:val="center"/>
          </w:tcPr>
          <w:p>
            <w:pPr>
              <w:pStyle w:val="ListParagraph"/>
              <w:spacing w:lineRule="auto" w:line="240" w:before="0" w:after="0"/>
              <w:ind w:left="176" w:hanging="0"/>
              <w:contextualSpacing/>
              <w:rPr>
                <w:rFonts w:ascii="Arial" w:hAnsi="Arial" w:cs="Arial"/>
                <w:spacing w:val="0"/>
                <w:sz w:val="20"/>
                <w:szCs w:val="20"/>
              </w:rPr>
            </w:pPr>
            <w:r>
              <w:rPr>
                <w:rFonts w:cs="Arial" w:ascii="Arial" w:hAnsi="Arial"/>
                <w:spacing w:val="0"/>
                <w:sz w:val="20"/>
                <w:szCs w:val="20"/>
              </w:rPr>
              <w:t xml:space="preserve">1.6. Desarrollar </w:t>
            </w:r>
            <w:r>
              <w:rPr/>
              <w:t xml:space="preserve">y defender </w:t>
            </w:r>
            <w:r>
              <w:rPr>
                <w:rFonts w:cs="Arial" w:ascii="Arial" w:hAnsi="Arial"/>
                <w:spacing w:val="0"/>
                <w:sz w:val="20"/>
                <w:szCs w:val="20"/>
              </w:rPr>
              <w:t>pequeños trabajos de investigación en los que se ponga en práctica la aplicación del método científico y utilización de las TIC.</w:t>
            </w:r>
            <w:r>
              <w:rPr/>
              <w:t xml:space="preserve"> </w:t>
            </w:r>
            <w:r>
              <w:rPr>
                <w:b/>
              </w:rPr>
              <w:t>(CCL, CMCT, CD, SIEP).</w:t>
            </w:r>
          </w:p>
          <w:p>
            <w:pPr>
              <w:pStyle w:val="Normal"/>
              <w:spacing w:lineRule="auto" w:line="240" w:before="0" w:after="0"/>
              <w:rPr>
                <w:rFonts w:ascii="Arial" w:hAnsi="Arial" w:cs="Arial"/>
                <w:spacing w:val="0"/>
                <w:sz w:val="20"/>
                <w:szCs w:val="20"/>
              </w:rPr>
            </w:pPr>
            <w:r>
              <w:rPr>
                <w:rFonts w:cs="Arial" w:ascii="Arial" w:hAnsi="Arial"/>
                <w:spacing w:val="0"/>
                <w:sz w:val="20"/>
                <w:szCs w:val="20"/>
              </w:rPr>
            </w:r>
          </w:p>
        </w:tc>
        <w:tc>
          <w:tcPr>
            <w:tcW w:w="2551" w:type="dxa"/>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fill="auto" w:val="clear"/>
            <w:tcMar>
              <w:left w:w="107" w:type="dxa"/>
            </w:tcMar>
            <w:vAlign w:val="center"/>
          </w:tcPr>
          <w:p>
            <w:pPr>
              <w:pStyle w:val="Normal"/>
              <w:spacing w:lineRule="auto" w:line="240" w:before="0" w:after="0"/>
              <w:ind w:left="314" w:hanging="314"/>
              <w:rPr>
                <w:rFonts w:ascii="Arial" w:hAnsi="Arial" w:cs="Arial"/>
                <w:sz w:val="20"/>
                <w:szCs w:val="20"/>
              </w:rPr>
            </w:pPr>
            <w:r>
              <w:rPr>
                <w:rFonts w:cs="Arial" w:ascii="Arial" w:hAnsi="Arial"/>
                <w:sz w:val="20"/>
                <w:szCs w:val="20"/>
              </w:rPr>
              <w:t>1.6.2. Realiza pequeños trabajos de investigación sobre algún tema objeto de estudio aplicando el método científico, y utilizando las TIC para la búsqueda y selección de información y presentación de conclusiones.</w:t>
            </w:r>
          </w:p>
          <w:p>
            <w:pPr>
              <w:pStyle w:val="Normal"/>
              <w:spacing w:lineRule="auto" w:line="240" w:before="0" w:after="0"/>
              <w:ind w:left="33" w:hanging="0"/>
              <w:rPr>
                <w:rFonts w:ascii="Arial" w:hAnsi="Arial" w:cs="Arial"/>
                <w:sz w:val="20"/>
                <w:szCs w:val="20"/>
              </w:rPr>
            </w:pPr>
            <w:r>
              <w:rPr>
                <w:rFonts w:cs="Arial" w:ascii="Arial" w:hAnsi="Arial"/>
                <w:sz w:val="20"/>
                <w:szCs w:val="20"/>
              </w:rPr>
            </w:r>
          </w:p>
          <w:p>
            <w:pPr>
              <w:pStyle w:val="Normal"/>
              <w:spacing w:lineRule="auto" w:line="240" w:before="0" w:after="0"/>
              <w:ind w:left="314" w:hanging="284"/>
              <w:rPr>
                <w:rFonts w:ascii="Arial" w:hAnsi="Arial" w:cs="Arial"/>
                <w:sz w:val="20"/>
                <w:szCs w:val="20"/>
              </w:rPr>
            </w:pPr>
            <w:r>
              <w:rPr>
                <w:rFonts w:cs="Arial" w:ascii="Arial" w:hAnsi="Arial"/>
                <w:sz w:val="20"/>
                <w:szCs w:val="20"/>
              </w:rPr>
              <w:t>1.</w:t>
            </w:r>
            <w:bookmarkStart w:id="0" w:name="_GoBack"/>
            <w:bookmarkEnd w:id="0"/>
            <w:r>
              <w:rPr>
                <w:rFonts w:cs="Arial" w:ascii="Arial" w:hAnsi="Arial"/>
                <w:sz w:val="20"/>
                <w:szCs w:val="20"/>
              </w:rPr>
              <w:t>6.3. Participa, valora, gestiona y respeta el trabajo individual y en equipo.</w:t>
            </w:r>
          </w:p>
        </w:tc>
        <w:tc>
          <w:tcPr>
            <w:tcW w:w="2574" w:type="dxa"/>
            <w:tc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cBorders>
            <w:shd w:fill="auto" w:val="clear"/>
            <w:tcMar>
              <w:left w:w="107" w:type="dxa"/>
            </w:tcMar>
            <w:vAlign w:val="center"/>
          </w:tcPr>
          <w:p>
            <w:pPr>
              <w:pStyle w:val="ListParagraph"/>
              <w:numPr>
                <w:ilvl w:val="0"/>
                <w:numId w:val="2"/>
              </w:numPr>
              <w:spacing w:lineRule="auto" w:line="240" w:before="0" w:after="0"/>
              <w:ind w:left="125" w:hanging="125"/>
              <w:contextualSpacing/>
              <w:rPr>
                <w:rFonts w:ascii="Arial" w:hAnsi="Arial" w:cs="Arial"/>
                <w:sz w:val="20"/>
                <w:szCs w:val="20"/>
              </w:rPr>
            </w:pPr>
            <w:r>
              <w:rPr>
                <w:rFonts w:cs="Arial" w:ascii="Arial" w:hAnsi="Arial"/>
                <w:sz w:val="20"/>
                <w:szCs w:val="20"/>
              </w:rPr>
              <w:t>Utiliza software informático e Internet para realizar trabajos y actividades.</w:t>
            </w:r>
          </w:p>
          <w:p>
            <w:pPr>
              <w:pStyle w:val="ListParagraph"/>
              <w:spacing w:lineRule="auto" w:line="240" w:before="0" w:after="0"/>
              <w:ind w:left="125" w:hanging="0"/>
              <w:contextualSpacing/>
              <w:rPr>
                <w:rFonts w:ascii="Arial" w:hAnsi="Arial" w:cs="Arial"/>
                <w:b/>
                <w:b/>
                <w:spacing w:val="0"/>
                <w:sz w:val="20"/>
                <w:szCs w:val="20"/>
              </w:rPr>
            </w:pPr>
            <w:r>
              <w:rPr>
                <w:rFonts w:cs="Arial" w:ascii="Arial" w:hAnsi="Arial"/>
                <w:b/>
                <w:spacing w:val="0"/>
                <w:sz w:val="20"/>
                <w:szCs w:val="20"/>
              </w:rPr>
              <w:t>Act. 12, pág. 124.</w:t>
            </w:r>
          </w:p>
          <w:p>
            <w:pPr>
              <w:pStyle w:val="ListParagraph"/>
              <w:spacing w:lineRule="auto" w:line="240" w:before="0" w:after="0"/>
              <w:ind w:left="125" w:hanging="0"/>
              <w:contextualSpacing/>
              <w:rPr>
                <w:rFonts w:ascii="Arial" w:hAnsi="Arial" w:cs="Arial"/>
                <w:b/>
                <w:b/>
                <w:sz w:val="20"/>
                <w:szCs w:val="20"/>
              </w:rPr>
            </w:pPr>
            <w:r>
              <w:rPr>
                <w:rFonts w:cs="Arial" w:ascii="Arial" w:hAnsi="Arial"/>
                <w:b/>
                <w:spacing w:val="0"/>
                <w:sz w:val="20"/>
                <w:szCs w:val="20"/>
              </w:rPr>
              <w:t>Act. 30, pág. 131.</w:t>
            </w:r>
          </w:p>
        </w:tc>
      </w:tr>
    </w:tbl>
    <w:p>
      <w:pPr>
        <w:pStyle w:val="TABLAtxtredondoconnum11TABLA"/>
        <w:spacing w:lineRule="auto" w:line="240" w:before="60" w:after="0"/>
        <w:ind w:left="284" w:hanging="284"/>
        <w:jc w:val="left"/>
        <w:rPr>
          <w:rFonts w:ascii="Arial" w:hAnsi="Arial" w:eastAsia="Calibri" w:cs="Arial" w:eastAsiaTheme="minorHAnsi"/>
          <w:sz w:val="18"/>
          <w:szCs w:val="18"/>
          <w:lang w:val="es-ES" w:eastAsia="en-US"/>
        </w:rPr>
      </w:pPr>
      <w:r>
        <w:rPr>
          <w:rFonts w:eastAsia="Calibri" w:cs="Arial" w:ascii="Arial" w:hAnsi="Arial" w:eastAsiaTheme="minorHAnsi"/>
          <w:sz w:val="18"/>
          <w:szCs w:val="18"/>
          <w:lang w:val="es-ES" w:eastAsia="en-US"/>
        </w:rPr>
        <w:t>Los criterios de evaluación y estándares de aprendizaje señalados con (**) son de ampliación.</w:t>
      </w:r>
    </w:p>
    <w:p>
      <w:pPr>
        <w:pStyle w:val="TABLAtxtredondoconnum11TABLA"/>
        <w:spacing w:lineRule="auto" w:line="240" w:before="60" w:after="0"/>
        <w:ind w:left="284" w:hanging="284"/>
        <w:jc w:val="left"/>
        <w:rPr>
          <w:rFonts w:ascii="Arial" w:hAnsi="Arial" w:cs="Arial"/>
          <w:sz w:val="18"/>
          <w:szCs w:val="18"/>
          <w:highlight w:val="yellow"/>
          <w:lang w:val="es-ES"/>
        </w:rPr>
      </w:pPr>
      <w:r>
        <w:rPr>
          <w:rFonts w:eastAsia="Calibri" w:cs="Arial" w:ascii="Arial" w:hAnsi="Arial" w:eastAsiaTheme="minorHAnsi"/>
          <w:sz w:val="18"/>
          <w:szCs w:val="18"/>
          <w:lang w:val="es-ES" w:eastAsia="en-US"/>
        </w:rPr>
        <w:t>Los criterios de evaluación y estándares de aprendizaje señalados con (*) son de repaso de cursos anteriores.</w:t>
      </w:r>
    </w:p>
    <w:p>
      <w:pPr>
        <w:pStyle w:val="Normal"/>
        <w:rPr/>
      </w:pPr>
      <w:r>
        <w:rPr/>
      </w:r>
    </w:p>
    <w:sectPr>
      <w:headerReference w:type="default" r:id="rId2"/>
      <w:type w:val="nextPage"/>
      <w:pgSz w:w="11906" w:h="16838"/>
      <w:pgMar w:left="680" w:right="680" w:header="709" w:top="766" w:footer="0" w:bottom="68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ucida Grande">
    <w:charset w:val="01"/>
    <w:family w:val="roman"/>
    <w:pitch w:val="variable"/>
  </w:font>
  <w:font w:name="Liberation Sans">
    <w:altName w:val="Arial"/>
    <w:charset w:val="01"/>
    <w:family w:val="swiss"/>
    <w:pitch w:val="variable"/>
  </w:font>
  <w:font w:name="Arial">
    <w:charset w:val="01"/>
    <w:family w:val="roman"/>
    <w:pitch w:val="variable"/>
  </w:font>
  <w:font w:name="ClanPro-CondBook">
    <w:charset w:val="01"/>
    <w:family w:val="roman"/>
    <w:pitch w:val="variable"/>
  </w:font>
  <w:font w:name="UnitOT-Light">
    <w:charset w:val="01"/>
    <w:family w:val="roman"/>
    <w:pitch w:val="variable"/>
  </w:font>
  <w:font w:name="Al-Andalus">
    <w:charset w:val="01"/>
    <w:family w:val="auto"/>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tbl>
    <w:tblPr>
      <w:tblW w:w="14176" w:type="dxa"/>
      <w:jc w:val="left"/>
      <w:tblInd w:w="-92" w:type="dxa"/>
      <w:tblBorders>
        <w:top w:val="single" w:sz="4" w:space="0" w:color="000000"/>
        <w:left w:val="single" w:sz="4" w:space="0" w:color="000000"/>
      </w:tblBorders>
      <w:tblCellMar>
        <w:top w:w="55" w:type="dxa"/>
        <w:left w:w="50" w:type="dxa"/>
        <w:bottom w:w="55" w:type="dxa"/>
        <w:right w:w="55" w:type="dxa"/>
      </w:tblCellMar>
    </w:tblPr>
    <w:tblGrid>
      <w:gridCol w:w="3571"/>
      <w:gridCol w:w="3801"/>
      <w:gridCol w:w="3118"/>
      <w:gridCol w:w="3686"/>
    </w:tblGrid>
    <w:tr>
      <w:trPr>
        <w:trHeight w:val="361" w:hRule="atLeast"/>
      </w:trPr>
      <w:tc>
        <w:tcPr>
          <w:tcW w:w="3571" w:type="dxa"/>
          <w:tcBorders>
            <w:top w:val="single" w:sz="4" w:space="0" w:color="000000"/>
            <w:left w:val="single" w:sz="4" w:space="0" w:color="000000"/>
          </w:tcBorders>
          <w:shd w:fill="auto" w:val="clear"/>
          <w:tcMar>
            <w:left w:w="50" w:type="dxa"/>
          </w:tcMar>
        </w:tcPr>
        <w:p>
          <w:pPr>
            <w:pStyle w:val="Cuerpodetexto"/>
            <w:spacing w:before="0" w:after="140"/>
            <w:jc w:val="center"/>
            <w:rPr>
              <w:rFonts w:ascii="Al-Andalus" w:hAnsi="Al-Andalus"/>
              <w:b/>
              <w:b/>
              <w:bCs/>
            </w:rPr>
          </w:pPr>
          <w:r>
            <w:rPr>
              <w:rFonts w:ascii="Al-Andalus" w:hAnsi="Al-Andalus"/>
              <w:b/>
              <w:bCs/>
            </w:rPr>
            <w:t xml:space="preserve">CONCRECIÓN DE LA ACTIVIDAD DE AULA.                </w:t>
          </w:r>
        </w:p>
      </w:tc>
      <w:tc>
        <w:tcPr>
          <w:tcW w:w="3801" w:type="dxa"/>
          <w:tcBorders>
            <w:top w:val="single" w:sz="4" w:space="0" w:color="000000"/>
            <w:left w:val="single" w:sz="4" w:space="0" w:color="000000"/>
          </w:tcBorders>
          <w:shd w:fill="auto" w:val="clear"/>
          <w:tcMar>
            <w:left w:w="50" w:type="dxa"/>
          </w:tcMar>
        </w:tcPr>
        <w:p>
          <w:pPr>
            <w:pStyle w:val="Cuerpodetexto"/>
            <w:spacing w:before="0" w:after="140"/>
            <w:jc w:val="center"/>
            <w:rPr>
              <w:rFonts w:ascii="Al-Andalus" w:hAnsi="Al-Andalus"/>
              <w:b/>
              <w:b/>
              <w:bCs/>
            </w:rPr>
          </w:pPr>
          <w:r>
            <w:rPr>
              <w:rFonts w:ascii="Al-Andalus" w:hAnsi="Al-Andalus"/>
              <w:b/>
              <w:bCs/>
            </w:rPr>
            <w:t xml:space="preserve">EVALUACIÓN </w:t>
          </w:r>
          <w:r>
            <w:rPr>
              <w:rFonts w:ascii="Al-Andalus" w:hAnsi="Al-Andalus"/>
              <w:b/>
              <w:bCs/>
            </w:rPr>
            <w:t>3</w:t>
          </w:r>
          <w:r>
            <w:rPr>
              <w:rFonts w:ascii="Al-Andalus" w:hAnsi="Al-Andalus"/>
              <w:b/>
              <w:bCs/>
            </w:rPr>
            <w:t>º</w:t>
          </w:r>
        </w:p>
      </w:tc>
      <w:tc>
        <w:tcPr>
          <w:tcW w:w="3118" w:type="dxa"/>
          <w:vMerge w:val="restart"/>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Cuerpodetexto"/>
            <w:jc w:val="center"/>
            <w:rPr>
              <w:rFonts w:ascii="Al-Andalus" w:hAnsi="Al-Andalus"/>
              <w:b/>
              <w:b/>
              <w:bCs/>
            </w:rPr>
          </w:pPr>
          <w:r>
            <w:rPr>
              <w:rFonts w:ascii="Al-Andalus" w:hAnsi="Al-Andalus"/>
              <w:b/>
              <w:bCs/>
            </w:rPr>
            <w:t>PERIODO desde ____________</w:t>
          </w:r>
        </w:p>
        <w:p>
          <w:pPr>
            <w:pStyle w:val="Cuerpodetexto"/>
            <w:spacing w:before="0" w:after="140"/>
            <w:jc w:val="center"/>
            <w:rPr>
              <w:rFonts w:ascii="Al-Andalus" w:hAnsi="Al-Andalus"/>
              <w:b/>
              <w:b/>
              <w:bCs/>
            </w:rPr>
          </w:pPr>
          <w:r>
            <w:rPr>
              <w:rFonts w:ascii="Al-Andalus" w:hAnsi="Al-Andalus"/>
              <w:b/>
              <w:bCs/>
            </w:rPr>
            <w:t xml:space="preserve"> </w:t>
          </w:r>
          <w:r>
            <w:rPr>
              <w:rFonts w:ascii="Al-Andalus" w:hAnsi="Al-Andalus"/>
              <w:b/>
              <w:bCs/>
            </w:rPr>
            <w:t>a ____________</w:t>
          </w:r>
        </w:p>
      </w:tc>
      <w:tc>
        <w:tcPr>
          <w:tcW w:w="3686" w:type="dxa"/>
          <w:tcBorders>
            <w:top w:val="single" w:sz="4" w:space="0" w:color="000000"/>
            <w:left w:val="single" w:sz="4" w:space="0" w:color="000000"/>
            <w:right w:val="single" w:sz="4" w:space="0" w:color="000000"/>
            <w:insideV w:val="single" w:sz="4" w:space="0" w:color="000000"/>
          </w:tcBorders>
          <w:shd w:fill="auto" w:val="clear"/>
          <w:tcMar>
            <w:left w:w="50" w:type="dxa"/>
          </w:tcMar>
        </w:tcPr>
        <w:p>
          <w:pPr>
            <w:pStyle w:val="Cuerpodetexto"/>
            <w:spacing w:before="0" w:after="0"/>
            <w:jc w:val="center"/>
            <w:rPr>
              <w:rFonts w:ascii="Al-Andalus" w:hAnsi="Al-Andalus"/>
              <w:b/>
              <w:b/>
              <w:bCs/>
            </w:rPr>
          </w:pPr>
          <w:r>
            <w:rPr>
              <w:rFonts w:ascii="Al-Andalus" w:hAnsi="Al-Andalus"/>
              <w:b/>
              <w:bCs/>
            </w:rPr>
            <w:t>CURSO 2016-2017</w:t>
          </w:r>
        </w:p>
      </w:tc>
    </w:tr>
    <w:tr>
      <w:trPr/>
      <w:tc>
        <w:tcPr>
          <w:tcW w:w="3571" w:type="dxa"/>
          <w:tcBorders>
            <w:left w:val="single" w:sz="4" w:space="0" w:color="000000"/>
            <w:bottom w:val="single" w:sz="4" w:space="0" w:color="000000"/>
            <w:insideH w:val="single" w:sz="4" w:space="0" w:color="000000"/>
          </w:tcBorders>
          <w:shd w:fill="auto" w:val="clear"/>
          <w:tcMar>
            <w:left w:w="50" w:type="dxa"/>
          </w:tcMar>
        </w:tcPr>
        <w:p>
          <w:pPr>
            <w:pStyle w:val="Cuerpodetexto"/>
            <w:spacing w:before="0" w:after="140"/>
            <w:rPr/>
          </w:pPr>
          <w:r>
            <w:rPr>
              <w:rStyle w:val="Fuentedeprrafopredeter"/>
              <w:rFonts w:ascii="Al-Andalus" w:hAnsi="Al-Andalus"/>
              <w:b/>
              <w:bCs/>
            </w:rPr>
            <w:t xml:space="preserve">Materia </w:t>
          </w:r>
          <w:r>
            <w:rPr>
              <w:rStyle w:val="Fuentedeprrafopredeter"/>
              <w:rFonts w:ascii="Al-Andalus" w:hAnsi="Al-Andalus"/>
              <w:b/>
              <w:bCs/>
              <w:sz w:val="16"/>
              <w:szCs w:val="16"/>
            </w:rPr>
            <w:t>Química</w:t>
          </w:r>
        </w:p>
      </w:tc>
      <w:tc>
        <w:tcPr>
          <w:tcW w:w="3801" w:type="dxa"/>
          <w:tcBorders>
            <w:left w:val="single" w:sz="4" w:space="0" w:color="000000"/>
            <w:bottom w:val="single" w:sz="4" w:space="0" w:color="000000"/>
            <w:insideH w:val="single" w:sz="4" w:space="0" w:color="000000"/>
          </w:tcBorders>
          <w:shd w:fill="auto" w:val="clear"/>
          <w:tcMar>
            <w:left w:w="50" w:type="dxa"/>
          </w:tcMar>
        </w:tcPr>
        <w:p>
          <w:pPr>
            <w:pStyle w:val="Cuerpodetexto"/>
            <w:spacing w:before="0" w:after="140"/>
            <w:jc w:val="center"/>
            <w:rPr>
              <w:rFonts w:ascii="Al-Andalus" w:hAnsi="Al-Andalus"/>
              <w:b/>
              <w:b/>
              <w:bCs/>
            </w:rPr>
          </w:pPr>
          <w:r>
            <w:rPr>
              <w:rFonts w:ascii="Al-Andalus" w:hAnsi="Al-Andalus"/>
              <w:b/>
              <w:bCs/>
            </w:rPr>
            <w:t xml:space="preserve">Curso: </w:t>
          </w:r>
          <w:r>
            <w:rPr>
              <w:rFonts w:ascii="Al-Andalus" w:hAnsi="Al-Andalus"/>
              <w:b/>
              <w:bCs/>
            </w:rPr>
            <w:t>3</w:t>
          </w:r>
          <w:r>
            <w:rPr>
              <w:rFonts w:ascii="Al-Andalus" w:hAnsi="Al-Andalus"/>
              <w:b/>
              <w:bCs/>
            </w:rPr>
            <w:t xml:space="preserve">º     Grupo: </w:t>
          </w:r>
          <w:r>
            <w:rPr>
              <w:rFonts w:ascii="Al-Andalus" w:hAnsi="Al-Andalus"/>
              <w:b/>
              <w:bCs/>
            </w:rPr>
            <w:t>C</w:t>
          </w:r>
          <w:r>
            <w:rPr>
              <w:rFonts w:ascii="Al-Andalus" w:hAnsi="Al-Andalus"/>
              <w:b/>
              <w:bCs/>
            </w:rPr>
            <w:t xml:space="preserve">      Nivel </w:t>
          </w:r>
          <w:r>
            <w:rPr>
              <w:rFonts w:ascii="Al-Andalus" w:hAnsi="Al-Andalus"/>
              <w:b/>
              <w:bCs/>
            </w:rPr>
            <w:t>E.S.O</w:t>
          </w:r>
        </w:p>
      </w:tc>
      <w:tc>
        <w:tcPr>
          <w:tcW w:w="3118" w:type="dxa"/>
          <w:vMerge w:val="continue"/>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rPr/>
          </w:pPr>
          <w:r>
            <w:rPr/>
          </w:r>
        </w:p>
      </w:tc>
      <w:tc>
        <w:tcPr>
          <w:tcW w:w="36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Cuerpodetexto"/>
            <w:tabs>
              <w:tab w:val="center" w:pos="1323" w:leader="none"/>
            </w:tabs>
            <w:spacing w:before="0" w:after="140"/>
            <w:rPr/>
          </w:pPr>
          <w:r>
            <w:rPr>
              <w:rStyle w:val="Fuentedeprrafopredeter"/>
              <w:rFonts w:ascii="Al-Andalus" w:hAnsi="Al-Andalus"/>
              <w:b/>
              <w:bCs/>
            </w:rPr>
            <w:t xml:space="preserve">Profesor </w:t>
          </w:r>
          <w:r>
            <w:rPr>
              <w:rStyle w:val="Fuentedeprrafopredeter"/>
              <w:rFonts w:ascii="Al-Andalus" w:hAnsi="Al-Andalus"/>
              <w:b/>
              <w:bCs/>
              <w:sz w:val="18"/>
            </w:rPr>
            <w:t>CARMEN KELLY ALBENDIZ</w:t>
          </w:r>
        </w:p>
      </w:tc>
    </w:tr>
  </w:tbl>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mirrorMargins/>
  <w:defaultTabStop w:val="708"/>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s-ES" w:eastAsia="es-ES" w:bidi="ar-SA"/>
      </w:rPr>
    </w:rPrDefault>
    <w:pPrDefault>
      <w:pPr>
        <w:spacing w:lineRule="auto" w:line="276"/>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c214f3"/>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es-ES"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0f5eb7"/>
    <w:rPr/>
  </w:style>
  <w:style w:type="character" w:styleId="PiedepginaCar" w:customStyle="1">
    <w:name w:val="Pie de página Car"/>
    <w:basedOn w:val="DefaultParagraphFont"/>
    <w:link w:val="Piedepgina"/>
    <w:uiPriority w:val="99"/>
    <w:qFormat/>
    <w:rsid w:val="000f5eb7"/>
    <w:rPr/>
  </w:style>
  <w:style w:type="character" w:styleId="TextodegloboCar" w:customStyle="1">
    <w:name w:val="Texto de globo Car"/>
    <w:basedOn w:val="DefaultParagraphFont"/>
    <w:link w:val="Textodeglobo"/>
    <w:uiPriority w:val="99"/>
    <w:semiHidden/>
    <w:qFormat/>
    <w:rsid w:val="00aa0a85"/>
    <w:rPr>
      <w:rFonts w:ascii="Lucida Grande" w:hAnsi="Lucida Grande"/>
      <w:sz w:val="18"/>
      <w:szCs w:val="18"/>
    </w:rPr>
  </w:style>
  <w:style w:type="character" w:styleId="ListLabel1">
    <w:name w:val="ListLabel 1"/>
    <w:qFormat/>
    <w:rPr>
      <w:rFonts w:cs="Courier New"/>
    </w:rPr>
  </w:style>
  <w:style w:type="character" w:styleId="Fuentedeprrafopredeter">
    <w:name w:val="Fuente de párrafo predeter."/>
    <w:qFormat/>
    <w:rPr/>
  </w:style>
  <w:style w:type="paragraph" w:styleId="Encabezado">
    <w:name w:val="Encabezado"/>
    <w:basedOn w:val="Normal"/>
    <w:next w:val="Cuerpodetexto"/>
    <w:qFormat/>
    <w:pPr>
      <w:keepNext/>
      <w:spacing w:before="240" w:after="120"/>
    </w:pPr>
    <w:rPr>
      <w:rFonts w:ascii="Liberation Sans" w:hAnsi="Liberation Sans" w:eastAsia="WenQuanYi Micro Hei" w:cs="Lohit Hind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Hindi"/>
    </w:rPr>
  </w:style>
  <w:style w:type="paragraph" w:styleId="Leyenda">
    <w:name w:val="Leyenda"/>
    <w:basedOn w:val="Normal"/>
    <w:pPr>
      <w:suppressLineNumbers/>
      <w:spacing w:before="120" w:after="120"/>
    </w:pPr>
    <w:rPr>
      <w:rFonts w:cs="Lohit Hindi"/>
      <w:i/>
      <w:iCs/>
      <w:sz w:val="24"/>
      <w:szCs w:val="24"/>
    </w:rPr>
  </w:style>
  <w:style w:type="paragraph" w:styleId="Ndice">
    <w:name w:val="Índice"/>
    <w:basedOn w:val="Normal"/>
    <w:qFormat/>
    <w:pPr>
      <w:suppressLineNumbers/>
    </w:pPr>
    <w:rPr>
      <w:rFonts w:cs="Lohit Hindi"/>
    </w:rPr>
  </w:style>
  <w:style w:type="paragraph" w:styleId="ListParagraph">
    <w:name w:val="List Paragraph"/>
    <w:basedOn w:val="Normal"/>
    <w:uiPriority w:val="34"/>
    <w:qFormat/>
    <w:rsid w:val="00191f4f"/>
    <w:pPr>
      <w:spacing w:before="0" w:after="200"/>
      <w:ind w:left="720" w:hanging="0"/>
      <w:contextualSpacing/>
    </w:pPr>
    <w:rPr/>
  </w:style>
  <w:style w:type="paragraph" w:styleId="Default" w:customStyle="1">
    <w:name w:val="Default"/>
    <w:qFormat/>
    <w:rsid w:val="002459b5"/>
    <w:pPr>
      <w:widowControl/>
      <w:bidi w:val="0"/>
      <w:spacing w:lineRule="auto" w:line="240" w:before="0" w:after="0"/>
      <w:jc w:val="left"/>
    </w:pPr>
    <w:rPr>
      <w:rFonts w:ascii="Arial" w:hAnsi="Arial" w:cs="Arial" w:eastAsia=""/>
      <w:color w:val="000000"/>
      <w:sz w:val="24"/>
      <w:szCs w:val="24"/>
      <w:lang w:val="es-ES" w:eastAsia="es-ES" w:bidi="ar-SA"/>
    </w:rPr>
  </w:style>
  <w:style w:type="paragraph" w:styleId="Encabezamiento">
    <w:name w:val="Encabezamiento"/>
    <w:basedOn w:val="Normal"/>
    <w:link w:val="EncabezadoCar"/>
    <w:uiPriority w:val="99"/>
    <w:unhideWhenUsed/>
    <w:rsid w:val="000f5eb7"/>
    <w:pPr>
      <w:tabs>
        <w:tab w:val="center" w:pos="4252" w:leader="none"/>
        <w:tab w:val="right" w:pos="8504" w:leader="none"/>
      </w:tabs>
      <w:spacing w:lineRule="auto" w:line="240" w:before="0" w:after="0"/>
    </w:pPr>
    <w:rPr/>
  </w:style>
  <w:style w:type="paragraph" w:styleId="Piedepgina">
    <w:name w:val="Pie de página"/>
    <w:basedOn w:val="Normal"/>
    <w:link w:val="PiedepginaCar"/>
    <w:uiPriority w:val="99"/>
    <w:unhideWhenUsed/>
    <w:rsid w:val="000f5eb7"/>
    <w:pPr>
      <w:tabs>
        <w:tab w:val="center" w:pos="4252" w:leader="none"/>
        <w:tab w:val="right" w:pos="8504" w:leader="none"/>
      </w:tabs>
      <w:spacing w:lineRule="auto" w:line="240" w:before="0" w:after="0"/>
    </w:pPr>
    <w:rPr/>
  </w:style>
  <w:style w:type="paragraph" w:styleId="BalloonText">
    <w:name w:val="Balloon Text"/>
    <w:basedOn w:val="Normal"/>
    <w:link w:val="TextodegloboCar"/>
    <w:uiPriority w:val="99"/>
    <w:semiHidden/>
    <w:unhideWhenUsed/>
    <w:qFormat/>
    <w:rsid w:val="00aa0a85"/>
    <w:pPr>
      <w:spacing w:lineRule="auto" w:line="240" w:before="0" w:after="0"/>
    </w:pPr>
    <w:rPr>
      <w:rFonts w:ascii="Lucida Grande" w:hAnsi="Lucida Grande"/>
      <w:sz w:val="18"/>
      <w:szCs w:val="18"/>
    </w:rPr>
  </w:style>
  <w:style w:type="paragraph" w:styleId="TABLAtxtredondoconnum11TABLA" w:customStyle="1">
    <w:name w:val="TABLA _txt redondo con num. 1.1. (TABLA)"/>
    <w:basedOn w:val="Normal"/>
    <w:uiPriority w:val="99"/>
    <w:qFormat/>
    <w:rsid w:val="008b57b5"/>
    <w:pPr>
      <w:tabs>
        <w:tab w:val="left" w:pos="283" w:leader="none"/>
      </w:tabs>
      <w:spacing w:lineRule="atLeast" w:line="240" w:before="0" w:after="113"/>
      <w:ind w:left="283" w:hanging="283"/>
      <w:jc w:val="both"/>
    </w:pPr>
    <w:rPr>
      <w:rFonts w:ascii="ClanPro-CondBook" w:hAnsi="ClanPro-CondBook" w:eastAsia="MS Mincho" w:cs="ClanPro-CondBook"/>
      <w:color w:val="000000"/>
      <w:sz w:val="20"/>
      <w:szCs w:val="20"/>
      <w:lang w:val="en-US"/>
    </w:rPr>
  </w:style>
  <w:style w:type="paragraph" w:styleId="Contenidodelmarco">
    <w:name w:val="Contenido del marco"/>
    <w:basedOn w:val="Normal"/>
    <w:qFormat/>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9f460f"/>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9C175-B456-4A69-B8AB-2D830E42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Application>LibreOffice/5.0.5.2$Linux_x86 LibreOffice_project/00m0$Build-2</Application>
  <Paragraphs>97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2015-05-25T10:42:00Z</dcterms:created>
  <dc:creator>Sergio Nombela</dc:creator>
  <dc:language>es-ES</dc:language>
  <cp:lastModifiedBy>usuario </cp:lastModifiedBy>
  <dcterms:modified xsi:type="dcterms:W3CDTF">2017-03-20T11:47:03Z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