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>Â</w:t>
      </w:r>
      <w:r w:rsidR="008A026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 xml:space="preserve"> </w:t>
      </w:r>
      <w:r w:rsidRPr="005C2F3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>¿Son efectivos los repelentes contra mosquitos para prevenir enfermedades transmitidas por vectores?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Son agentes repelentes de mosquitos eficaz para prevenir las enfermedades transmitidas por vectores</w:t>
      </w:r>
      <w:proofErr w:type="gram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?</w:t>
      </w:r>
      <w:proofErr w:type="gramEnd"/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Nelly Godoy </w:t>
      </w:r>
      <w:proofErr w:type="gram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es-ES"/>
        </w:rPr>
        <w:t>1a</w:t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 ,</w:t>
      </w:r>
      <w:proofErr w:type="gramEnd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Ericson</w:t>
      </w:r>
      <w:proofErr w:type="spellEnd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 L. </w:t>
      </w:r>
      <w:proofErr w:type="spell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Gutierrez</w:t>
      </w:r>
      <w:proofErr w:type="spellEnd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 </w:t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es-ES"/>
        </w:rPr>
        <w:t>1,2</w:t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 , </w:t>
      </w:r>
      <w:proofErr w:type="spell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Gisely</w:t>
      </w:r>
      <w:proofErr w:type="spellEnd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Hijar</w:t>
      </w:r>
      <w:proofErr w:type="spellEnd"/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 </w:t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es-ES"/>
        </w:rPr>
        <w:t>1b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1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Unidad de Aná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lisis y Genera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ció</w:t>
      </w:r>
      <w:bookmarkStart w:id="0" w:name="_GoBack"/>
      <w:bookmarkEnd w:id="0"/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de Evidencias en Salud Pú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blica, Instituto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Nacional de Salud. Lima, Perú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2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Facultad de Medicina, Universidad de Sa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Martin de Porres. Lima, Perú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a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Licenciada en enfermerí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a;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b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BiÃ³loga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24302B" w:rsidP="005C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.6pt" o:hralign="center" o:hrstd="t" o:hrnoshade="t" o:hr="t" fillcolor="black" stroked="f"/>
        </w:pic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Sr. Editor: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En la actualidad, las enfermedades transmitidas por vectores como el dengue,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zika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y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Chikungunya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re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presentan problemas de salud pública. La utilizació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de repelentes se co</w:t>
      </w:r>
      <w:r w:rsidR="007947B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nsidera una medida de prevenció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contra las picaduras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de mosquitos transmisores de é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stas enfermedades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(1)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En el mercado internacional circulan dos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clases de repelentes, los sinté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ticos como el DEET (N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,N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-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Diethyl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-meta-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toluamide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), la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(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PicaridÃ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n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Bayrepel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 KBR3023) y el IR3535 (EBAAP: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ethyl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butylacetylaminopropionate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); y los naturales como el aceite de eucalipto limÃ³n (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Corymbia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citriodora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) y el aceite de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citronela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Sin embargo, sÃ³lo el DEET, el IR3535 y la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han sido aprobados por la Agencia de ProtecciÃ³n Ambiental de los Estados Unido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 (EPA, por sus siglas en inglé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s) y al mismo tiempo son recomendados por la OrganizaciÃ³n Mundial de la Salud (OMS) como repelentes efectivos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(2)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42422C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Una revisión analiza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1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02 publicaciones entre los años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2000 y el 2012 que evaluaron la eficacia del DEET (20 - 25%) comparado con la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(10 - 20%) e IR3535 (10 - 20%), mostrando que el DEET al 20% o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frece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una protecció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 completa hasta por 10 horas frente al Aedes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aegypti</w:t>
      </w:r>
      <w:proofErr w:type="spellEnd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el IR3535 al 20%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10 horas y en menor proporció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 la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al 19,2%, (hasta 8 horas) 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(3)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Sin embargo, ensayos de campo hechos en Australia usando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al 19,2% y DEE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 al 35% dos veces al dí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a, señ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alan a la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como mejor aceptada ya que ser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á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menos grasosa y pegajosa que el DEET 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(4)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C2224A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No se han reportado efectos tó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xicos notorios para repelentes como DEET, </w:t>
      </w:r>
      <w:proofErr w:type="spellStart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 IR3535 a concentraciones recomendadas, por lo que la OMS no rest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ringe su uso en gestantes y niñ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os 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(2)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. 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El DEET ha sido el repelente má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 estudiado en cuanto a rea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cciones adversas, pero la mayorí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a de las reacciones que fueron reportadas estuvieron asociadas a inge</w:t>
      </w:r>
      <w:r w:rsidR="0042422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stió</w:t>
      </w:r>
      <w:r w:rsid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del quí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mico o por el uso de concentraciones altas sobre la piel (70</w:t>
      </w:r>
      <w:r w:rsidR="0042422C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%), por ello desde su aprobació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sigue</w:t>
      </w:r>
      <w:r w:rsidR="0004139F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siendo el repelente de elecció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y es considerado como el Gold standard 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(5)</w:t>
      </w:r>
      <w:r w:rsidR="005C2F39"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lastRenderedPageBreak/>
        <w:t>Los nombres come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rciales, el tiempo de protecció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y las concentr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aciones m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ás comunes de los repelentes disponibles en nuestro medio se muestran en la </w:t>
      </w:r>
      <w:hyperlink r:id="rId4" w:anchor="Tabla01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Tabla 1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(1)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bookmarkStart w:id="1" w:name="Tabla01"/>
      <w:bookmarkEnd w:id="1"/>
      <w:r w:rsidRPr="005C2F39">
        <w:rPr>
          <w:rFonts w:ascii="Verdana" w:eastAsia="Times New Roman" w:hAnsi="Verdana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 wp14:anchorId="0780A4D5" wp14:editId="2EEFC886">
            <wp:extent cx="9258300" cy="4038600"/>
            <wp:effectExtent l="0" t="0" r="0" b="0"/>
            <wp:docPr id="4" name="Imagen 4" descr="http://www.scielo.org.pe/img/revistas/amp/v33n4/a20_ta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ielo.org.pe/img/revistas/amp/v33n4/a20_tab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Respecto al uso simultá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neo de protector solar (como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oxibenzona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) y repelente (DEET o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), este no es recomendable, ya que tienen distintos mecanismos de acciÃ³n y frecuencia de uso; pudiendo increm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entar la absorciÃ³n de ambos quí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 xml:space="preserve">micos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 reduciendo la penetración dé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rmica; y con ello un riesgo de reacciones en la piel, por lo que se sugiere primero apli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car el protector solar y despué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 de unos diez a veinte minutos aplicar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el repelente, y reaplicar segú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indique la etiqueta del producto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es-ES"/>
        </w:rPr>
        <w:t>(6)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En el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PerÃº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es posible encontrar productos comerciales que contienen DEET,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o IR3535. La capacidad de repelencia del compu</w:t>
      </w:r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esto depende de la concentración y el tiempo de exposició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En conclusió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n, DEET,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icaridina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 IR3535 son tres repelentes</w:t>
      </w:r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efectivos en brindar protecció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 contra la picadura de mosquitos como el Aedes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aegypti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 Los estudios han demostrado que son se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guros de aplicar en la població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 general, incluyendo gestantes a partir de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 segundo trimestre de gestación y niñ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os mayores de 2 meses de edad, pero tomando en cuenta las indicaciones del fabricante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de cada producto. La apli</w:t>
      </w:r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cación de éstos repelentes </w:t>
      </w:r>
      <w:r w:rsidR="0024302B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podrá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ser una estrategia efect</w:t>
      </w:r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iva para prevenir la transmisió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n de enfermedades como el dengue,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chikun</w:t>
      </w:r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gunya</w:t>
      </w:r>
      <w:proofErr w:type="spellEnd"/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y </w:t>
      </w:r>
      <w:proofErr w:type="spellStart"/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zika</w:t>
      </w:r>
      <w:proofErr w:type="spellEnd"/>
      <w:r w:rsidR="00473B13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en la població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REFERENCIAS BIBLIOGRÃ</w:t>
      </w:r>
      <w:r w:rsidRPr="005C2F3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  <w:t></w:t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FICAS: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lastRenderedPageBreak/>
        <w:t xml:space="preserve">1. Comité para asesorar sobre Medicina Tropical y Viajes (CATMAT). Declaración sobre medidas de protección personal para evitar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VBites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artrópodos. 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Puede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Commun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 xml:space="preserve"> Dis Rep 2005; 31 (ACS-4)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:.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 xml:space="preserve"> 1-18. 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[  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fldChar w:fldCharType="begin"/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instrText xml:space="preserve"> HYPERLINK "javascript:void(0);" </w:instrTex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fldChar w:fldCharType="separate"/>
      </w:r>
      <w:r w:rsidRPr="005C2F39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en-US" w:eastAsia="es-ES"/>
        </w:rPr>
        <w:t>Enlaces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fldChar w:fldCharType="end"/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t>2. Katz TM, Miller JH, Hebert AA.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Los repelentes de insectos: perspectivas históricas y nuevos desarrollos. J Am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Acad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Dermatol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2008; 58 (5): 865-71. [  </w:t>
      </w:r>
      <w:hyperlink r:id="rId6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Enlaces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3.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Lupi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Hatz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Schlagenhauf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P. La eficacia de los repelentes contra Aedes,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Anopheles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Culex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y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Ixodes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spp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¿¿¿¿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un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???? 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una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revisión de la literatura. Viajes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Med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Infect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Dis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2013; 11 (6): 374-411. [  </w:t>
      </w:r>
      <w:hyperlink r:id="rId7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Enlaces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4.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Scheinfeld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N.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Picaridin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 un nuevo repelente de insectos. 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Med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Lett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Drugs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Ther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2005; 47 (1210): 46-7. [  </w:t>
      </w:r>
      <w:hyperlink r:id="rId8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Enlaces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5. repelentes de insectos a base de DEET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Koren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G,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Matsui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D, Bailey B.: implicaciones de seguridad para niños y mujeres embarazadas y lactantes. CMAJ. 200; 169 (3): 209-12. [  </w:t>
      </w:r>
      <w:hyperlink r:id="rId9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Enlaces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6. Rodríguez J,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Maibach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HI. Penetración percutánea y farmacodinamia: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Wash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-en y lavar-off de protector solar y repelente de insectos. 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Treat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J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Dermatolog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2016; 27 (1): 11-8. [  </w:t>
      </w:r>
      <w:hyperlink r:id="rId10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Enlaces</w:t>
        </w:r>
      </w:hyperlink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]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Fuente de financiamiento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: El presente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artÃ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culo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ha sido financiado por el Instituto Nacional de Salud.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Conflicto de intereses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: Los autores declaran no tener conflictos de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interÃ©s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con respecto a la publicaciÃ³n del presente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artÃ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softHyphen/>
        <w:t>culo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Correspondencia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Nelly Godoy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hyperlink r:id="rId11" w:history="1">
        <w:r w:rsidRPr="005C2F3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s-ES"/>
          </w:rPr>
          <w:t>nelly.godoy.mendoza@gmail.com</w:t>
        </w:r>
      </w:hyperlink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Recibido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 24/10/2016 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Aprobado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 09/11/2016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</w:t>
      </w:r>
    </w:p>
    <w:p w:rsidR="005C2F39" w:rsidRPr="005C2F39" w:rsidRDefault="005C2F39" w:rsidP="005C2F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5C2F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Citar como</w:t>
      </w:r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: Godoy N,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Gutierrez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EL,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Hijar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G.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Â¿Son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efectivos los repelentes contra mosquitos para prevenir enfermedades transmitidas por vectores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?.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Acta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Med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Peru</w:t>
      </w:r>
      <w:proofErr w:type="spell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 2016</w:t>
      </w:r>
      <w:proofErr w:type="gramStart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;33</w:t>
      </w:r>
      <w:proofErr w:type="gramEnd"/>
      <w:r w:rsidRPr="005C2F39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(4):346-7</w:t>
      </w:r>
    </w:p>
    <w:p w:rsidR="00C034DF" w:rsidRDefault="00C034DF"/>
    <w:sectPr w:rsidR="00C03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C1"/>
    <w:rsid w:val="0004139F"/>
    <w:rsid w:val="0024302B"/>
    <w:rsid w:val="0042422C"/>
    <w:rsid w:val="00473B13"/>
    <w:rsid w:val="005C2F39"/>
    <w:rsid w:val="007947BB"/>
    <w:rsid w:val="008A026A"/>
    <w:rsid w:val="00BD53C1"/>
    <w:rsid w:val="00C034DF"/>
    <w:rsid w:val="00C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79466-9C44-464F-B5B0-269E192A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nelly.godoy.mendoz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://www.scielo.org.pe/scielo.php?pid=S1728-59172016000400020&amp;script=sci_arttext" TargetMode="Externa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911</Words>
  <Characters>5013</Characters>
  <Application>Microsoft Office Word</Application>
  <DocSecurity>0</DocSecurity>
  <Lines>41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Bernal</dc:creator>
  <cp:keywords/>
  <dc:description/>
  <cp:lastModifiedBy>concha Bernal</cp:lastModifiedBy>
  <cp:revision>9</cp:revision>
  <dcterms:created xsi:type="dcterms:W3CDTF">2017-04-18T07:10:00Z</dcterms:created>
  <dcterms:modified xsi:type="dcterms:W3CDTF">2017-04-21T17:50:00Z</dcterms:modified>
</cp:coreProperties>
</file>