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01" w:rsidRPr="003E5E01" w:rsidRDefault="003E5E01" w:rsidP="003E5E01">
      <w:pPr>
        <w:spacing w:after="0" w:line="360" w:lineRule="atLeast"/>
        <w:textAlignment w:val="baseline"/>
        <w:outlineLvl w:val="0"/>
        <w:rPr>
          <w:rFonts w:ascii="Dosis" w:eastAsia="Times New Roman" w:hAnsi="Dosis" w:cs="Times New Roman"/>
          <w:caps/>
          <w:color w:val="41403F"/>
          <w:kern w:val="36"/>
          <w:sz w:val="28"/>
          <w:szCs w:val="28"/>
          <w:lang w:eastAsia="es-ES"/>
        </w:rPr>
      </w:pPr>
      <w:r w:rsidRPr="003E5E01">
        <w:rPr>
          <w:rFonts w:ascii="Dosis" w:eastAsia="Times New Roman" w:hAnsi="Dosis" w:cs="Times New Roman"/>
          <w:caps/>
          <w:color w:val="41403F"/>
          <w:kern w:val="36"/>
          <w:sz w:val="28"/>
          <w:szCs w:val="28"/>
          <w:lang w:eastAsia="es-ES"/>
        </w:rPr>
        <w:t>MÁS BARATO PREVENIR QUE LOS TRATAMIENTOS DENTALES.</w:t>
      </w:r>
    </w:p>
    <w:p w:rsidR="003E5E01" w:rsidRPr="003E5E01" w:rsidRDefault="003E5E01" w:rsidP="003E5E01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41403F"/>
          <w:sz w:val="21"/>
          <w:szCs w:val="21"/>
          <w:lang w:eastAsia="es-ES"/>
        </w:rPr>
      </w:pPr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 xml:space="preserve">Presidir los cuatro últimos años la Federación Europea de Periodoncia, que integra entidades de 29 países, entre ellos Israel y Turquía, supuso para Juan Blanco «trabajar y viajar mucho. Fue un período de crecimiento y se avanzó en una mayor profesionalización. También se consiguió un mayor reconocimiento de la población general, a lo que contribuyó una mejor comunicación interna y externa», explica este profesor de la </w:t>
      </w:r>
      <w:proofErr w:type="spellStart"/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>Facultade</w:t>
      </w:r>
      <w:proofErr w:type="spellEnd"/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 xml:space="preserve"> de </w:t>
      </w:r>
      <w:proofErr w:type="spellStart"/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>Odontoloxía</w:t>
      </w:r>
      <w:proofErr w:type="spellEnd"/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 xml:space="preserve"> de la USC.</w:t>
      </w:r>
    </w:p>
    <w:p w:rsidR="003E5E01" w:rsidRDefault="003E5E01" w:rsidP="003E5E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1403F"/>
          <w:sz w:val="21"/>
          <w:szCs w:val="21"/>
          <w:lang w:eastAsia="es-ES"/>
        </w:rPr>
      </w:pPr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 xml:space="preserve">De su experiencia en esta entidad continental resalta «las reuniones de consenso que tenemos todos los años. En esas sesiones se dan respuestas a cuestiones candentes; se revisa la literatura científica y se elaboran documentos, que son como guías clínicas para especialistas». Entre esos encuentros, destaca dos del último año: «Uno en el 2016, con la organización europea sobre caries, para hablar de prevención; y el otro en febrero de este año, con la Federación Internacional de Diabetes. Estas reuniones están en la línea de nuestro convencimiento de que si colaboran las especialidades médicas </w:t>
      </w:r>
    </w:p>
    <w:p w:rsidR="003E5E01" w:rsidRDefault="003E5E01" w:rsidP="003E5E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1403F"/>
          <w:sz w:val="21"/>
          <w:szCs w:val="21"/>
          <w:lang w:eastAsia="es-ES"/>
        </w:rPr>
      </w:pPr>
      <w:bookmarkStart w:id="0" w:name="_GoBack"/>
      <w:bookmarkEnd w:id="0"/>
    </w:p>
    <w:p w:rsidR="003E5E01" w:rsidRPr="003E5E01" w:rsidRDefault="003E5E01" w:rsidP="003E5E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1403F"/>
          <w:sz w:val="21"/>
          <w:szCs w:val="21"/>
          <w:lang w:eastAsia="es-ES"/>
        </w:rPr>
      </w:pPr>
      <w:proofErr w:type="gramStart"/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>se</w:t>
      </w:r>
      <w:proofErr w:type="gramEnd"/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> </w:t>
      </w:r>
      <w:r w:rsidRPr="003E5E01">
        <w:rPr>
          <w:rFonts w:ascii="inherit" w:eastAsia="Times New Roman" w:hAnsi="inherit" w:cs="Arial"/>
          <w:noProof/>
          <w:color w:val="E5B339"/>
          <w:sz w:val="21"/>
          <w:szCs w:val="21"/>
          <w:bdr w:val="none" w:sz="0" w:space="0" w:color="auto" w:frame="1"/>
          <w:lang w:eastAsia="es-ES"/>
        </w:rPr>
        <w:drawing>
          <wp:inline distT="0" distB="0" distL="0" distR="0" wp14:anchorId="3D479C2D" wp14:editId="2A7D1FA4">
            <wp:extent cx="2857500" cy="1600200"/>
            <wp:effectExtent l="0" t="0" r="0" b="0"/>
            <wp:docPr id="3" name="Imagen 3" descr="Juan Blanco">
              <a:hlinkClick xmlns:a="http://schemas.openxmlformats.org/drawingml/2006/main" r:id="rId4" tooltip="&quot;Juan Blanc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an Blanco">
                      <a:hlinkClick r:id="rId4" tooltip="&quot;Juan Blanc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>mejora el bienestar y la salud global. Debemos unir esfuerzos entre Odontología, Endocrinología, médicos de familia y otros».</w:t>
      </w:r>
    </w:p>
    <w:p w:rsidR="003E5E01" w:rsidRPr="003E5E01" w:rsidRDefault="003E5E01" w:rsidP="003E5E01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41403F"/>
          <w:sz w:val="21"/>
          <w:szCs w:val="21"/>
          <w:lang w:eastAsia="es-ES"/>
        </w:rPr>
      </w:pPr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>Es así, insiste, porque «hoy sabemos que las infecciones que se producen en la boca no solo afectan a la encía, también pueden hacerlo a otras partes del organismo. El sangrado de la encía provoca mal aliento, flemones, movilidad dentaria, dificultad de masticación o pérdida de dientes; tiene impacto sobre la calidad de vida del paciente, que deja de masticar bien y su nutrición se ve comprometida». Además, «las bacterias que provocan problemas de las encías entran en contacto con la circulación sanguínea y producen efectos nocivos sobre otros órganos. Hay evidencia de la asociación con males cardiovasculares, diabetes, o con complicaciones relacionadas con el embarazo; y estas últimas pueden suponer partos prematuros y otras complicaciones».</w:t>
      </w:r>
    </w:p>
    <w:p w:rsidR="003E5E01" w:rsidRPr="003E5E01" w:rsidRDefault="003E5E01" w:rsidP="003E5E01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41403F"/>
          <w:sz w:val="21"/>
          <w:szCs w:val="21"/>
          <w:lang w:eastAsia="es-ES"/>
        </w:rPr>
      </w:pPr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>Enfatiza sobre todo la diabetes «porque los pacientes diabéticos son también más propensos a padecer enfermedades de las encías; y quienes tienen problemas en las encías pueden tener una diabetes de difícil control y más complicaciones».</w:t>
      </w:r>
    </w:p>
    <w:p w:rsidR="003E5E01" w:rsidRPr="003E5E01" w:rsidRDefault="003E5E01" w:rsidP="003E5E01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41403F"/>
          <w:sz w:val="21"/>
          <w:szCs w:val="21"/>
          <w:lang w:eastAsia="es-ES"/>
        </w:rPr>
      </w:pPr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>Por eso, según este especialista, si se valoran bien algunos factores de riesgo comunes, como la edad, sexo, genética, tabaquismo, mala alimentación o sedentarismo, se mejoran la diabetes y la salud de la boca «y además otras enfermedades crónicas no transmisibles. Las encías pueden ocasionar problemas leves, como gingivitis; y otros más serios, como la periodontitis severa. Es importante diagnosticar precozmente los problemas de la boca y es fácil hacerlo. Si se detecta sangrado en la boca se debe de acudir al odontólogo, lo mismo que se consulta a un médico si se detecta sangrado en otras partes del organismo; es igual de preocupante. Porque el sangrado en la boca implica una inflamación producida por bacterias, que se debe tratar», sostiene.</w:t>
      </w:r>
    </w:p>
    <w:p w:rsidR="003E5E01" w:rsidRPr="003E5E01" w:rsidRDefault="003E5E01" w:rsidP="003E5E01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41403F"/>
          <w:sz w:val="21"/>
          <w:szCs w:val="21"/>
          <w:lang w:eastAsia="es-ES"/>
        </w:rPr>
      </w:pPr>
      <w:r w:rsidRPr="003E5E01">
        <w:rPr>
          <w:rFonts w:ascii="inherit" w:eastAsia="Times New Roman" w:hAnsi="inherit" w:cs="Arial"/>
          <w:color w:val="41403F"/>
          <w:sz w:val="21"/>
          <w:szCs w:val="21"/>
          <w:lang w:eastAsia="es-ES"/>
        </w:rPr>
        <w:t>Respecto a la prevención, recuerda que «cuando presidí la Sociedad Española de Periodoncia establecimos la que llamamos regla del dos: se debe acudir al menos dos veces al año al dentista, cambiar de cepillo de dientes dos veces cada seis meses, y cepillarse los dientes dos veces al día. No hay nada más barato que el cepillo de dientes. Porque dicen que el dentista es caro, y lo es cuando no hay dientes y los tiene que poner. Por eso es más barato invertir en prevención que en tratamientos de dentistas; y además se evitan complicaciones e incluso tratamientos hospitalarios».</w:t>
      </w:r>
    </w:p>
    <w:p w:rsidR="00547436" w:rsidRDefault="00547436"/>
    <w:sectPr w:rsidR="00547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1"/>
    <w:rsid w:val="003E5E01"/>
    <w:rsid w:val="004B6417"/>
    <w:rsid w:val="005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2266-1F51-47CB-85AB-4E3B1992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ntalista.es/web/wp-content/uploads/2017/04/SA2C12FSmal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2017-04-25T08:18:00Z</dcterms:created>
  <dcterms:modified xsi:type="dcterms:W3CDTF">2017-04-25T08:18:00Z</dcterms:modified>
</cp:coreProperties>
</file>