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87" w:rsidRPr="00695087" w:rsidRDefault="00695087" w:rsidP="00695087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</w:p>
    <w:p w:rsidR="00695087" w:rsidRPr="00695087" w:rsidRDefault="00695087" w:rsidP="00695087">
      <w:pPr>
        <w:widowControl w:val="0"/>
        <w:suppressAutoHyphens/>
        <w:autoSpaceDN w:val="0"/>
        <w:spacing w:after="120" w:line="240" w:lineRule="auto"/>
        <w:ind w:left="21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</w:pPr>
      <w:r w:rsidRPr="00695087"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  <w:t>ACTA NÚMERO</w:t>
      </w:r>
      <w:proofErr w:type="gramStart"/>
      <w:r w:rsidRPr="00695087"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  <w:t>:</w:t>
      </w:r>
      <w:r w:rsidR="00E927E4">
        <w:rPr>
          <w:rFonts w:ascii="Times New Roman" w:eastAsia="DejaVu Sans" w:hAnsi="Times New Roman" w:cs="DejaVu Sans"/>
          <w:b/>
          <w:bCs/>
          <w:kern w:val="3"/>
          <w:sz w:val="24"/>
          <w:szCs w:val="24"/>
          <w:lang w:eastAsia="zh-CN" w:bidi="hi-IN"/>
        </w:rPr>
        <w:t>5</w:t>
      </w:r>
      <w:proofErr w:type="gramEnd"/>
    </w:p>
    <w:p w:rsidR="00695087" w:rsidRPr="00695087" w:rsidRDefault="00695087" w:rsidP="00695087">
      <w:pPr>
        <w:widowControl w:val="0"/>
        <w:suppressAutoHyphens/>
        <w:autoSpaceDN w:val="0"/>
        <w:spacing w:after="120" w:line="240" w:lineRule="auto"/>
        <w:ind w:left="21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68"/>
        <w:gridCol w:w="3253"/>
        <w:gridCol w:w="3617"/>
      </w:tblGrid>
      <w:tr w:rsidR="00695087" w:rsidRPr="00695087" w:rsidTr="006A520A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suppressAutoHyphens/>
              <w:autoSpaceDN w:val="0"/>
              <w:spacing w:after="120" w:line="240" w:lineRule="auto"/>
              <w:ind w:left="21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Lugar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9553A9" w:rsidP="006950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CEIP “GINER de los RÏOS”</w:t>
            </w:r>
          </w:p>
        </w:tc>
      </w:tr>
      <w:tr w:rsidR="00695087" w:rsidRPr="00695087" w:rsidTr="006A520A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Fecha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9553A9" w:rsidP="006950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Lunes, 13 de marzo de 2017</w:t>
            </w:r>
          </w:p>
        </w:tc>
      </w:tr>
      <w:tr w:rsidR="00695087" w:rsidRPr="00695087" w:rsidTr="006A520A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Horario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9553A9" w:rsidP="006950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19 a 20h</w:t>
            </w:r>
          </w:p>
        </w:tc>
      </w:tr>
      <w:tr w:rsidR="00695087" w:rsidRPr="00695087" w:rsidTr="006A520A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Coordinador/a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9553A9" w:rsidP="009553A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María Dolores López</w:t>
            </w:r>
          </w:p>
        </w:tc>
      </w:tr>
      <w:tr w:rsidR="00695087" w:rsidRPr="00695087" w:rsidTr="006A520A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Asistentes</w:t>
            </w:r>
          </w:p>
          <w:p w:rsidR="00695087" w:rsidRPr="00695087" w:rsidRDefault="00695087" w:rsidP="006950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95087" w:rsidRPr="00695087" w:rsidRDefault="00695087" w:rsidP="00695087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E927E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07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E927E4" w:rsidRDefault="00E927E4" w:rsidP="00E927E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Ángela Cervera</w:t>
            </w:r>
          </w:p>
          <w:p w:rsidR="00E927E4" w:rsidRDefault="00E927E4" w:rsidP="00E927E4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Rosario Rubia</w:t>
            </w:r>
          </w:p>
          <w:p w:rsidR="00E927E4" w:rsidRDefault="00E927E4" w:rsidP="00E927E4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Victoria García</w:t>
            </w:r>
          </w:p>
          <w:p w:rsidR="00E927E4" w:rsidRDefault="00E927E4" w:rsidP="00E927E4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Isabel García</w:t>
            </w:r>
          </w:p>
          <w:p w:rsidR="00E927E4" w:rsidRDefault="00E927E4" w:rsidP="00E927E4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Pedro Sánchez</w:t>
            </w:r>
          </w:p>
          <w:p w:rsidR="00E927E4" w:rsidRDefault="00E927E4" w:rsidP="00E927E4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Inmaculada Martínez</w:t>
            </w:r>
          </w:p>
          <w:p w:rsidR="00E927E4" w:rsidRDefault="00E927E4" w:rsidP="00E927E4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Ana Belén Carreño</w:t>
            </w:r>
          </w:p>
          <w:p w:rsidR="00E927E4" w:rsidRDefault="00E927E4" w:rsidP="00E927E4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José Luis Casas</w:t>
            </w:r>
          </w:p>
          <w:p w:rsidR="00E927E4" w:rsidRDefault="00E927E4" w:rsidP="00E927E4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Josefa Ruiz</w:t>
            </w:r>
          </w:p>
          <w:p w:rsidR="00E927E4" w:rsidRDefault="00E927E4" w:rsidP="00E927E4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- Carmen </w:t>
            </w:r>
            <w:proofErr w:type="spell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Aragüez</w:t>
            </w:r>
            <w:proofErr w:type="spellEnd"/>
          </w:p>
          <w:p w:rsidR="00E927E4" w:rsidRDefault="00E927E4" w:rsidP="00E927E4">
            <w:pPr>
              <w:widowControl w:val="0"/>
              <w:suppressAutoHyphens/>
              <w:autoSpaceDN w:val="0"/>
              <w:spacing w:before="100" w:beforeAutospacing="1" w:after="0" w:line="288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- Leonor Romero</w:t>
            </w:r>
          </w:p>
          <w:p w:rsidR="00695087" w:rsidRPr="00695087" w:rsidRDefault="00695087" w:rsidP="006950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695087" w:rsidRPr="00695087" w:rsidRDefault="00695087" w:rsidP="006950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95087" w:rsidRPr="00695087" w:rsidTr="006A520A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Ausencias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695087" w:rsidRPr="00695087" w:rsidRDefault="00695087" w:rsidP="0069508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95087" w:rsidRPr="00695087" w:rsidTr="006A520A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Otros asistentes (Asesoría de referencia, ponente...)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695087" w:rsidRPr="00695087" w:rsidRDefault="00695087" w:rsidP="0069508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95087" w:rsidRPr="00695087" w:rsidTr="006A520A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Orden del día</w:t>
            </w:r>
          </w:p>
          <w:p w:rsidR="00695087" w:rsidRPr="00695087" w:rsidRDefault="00695087" w:rsidP="0069508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9553A9" w:rsidRDefault="009553A9" w:rsidP="009553A9">
            <w:pPr>
              <w:pStyle w:val="Prrafodelista"/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9553A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Entrenamiento en los cinco pensamientos de </w:t>
            </w:r>
            <w:proofErr w:type="spellStart"/>
            <w:r w:rsidRPr="009553A9">
              <w:rPr>
                <w:rFonts w:ascii="Calibri" w:eastAsia="Times New Roman" w:hAnsi="Calibri" w:cs="Times New Roman"/>
                <w:color w:val="000000"/>
                <w:lang w:eastAsia="es-ES"/>
              </w:rPr>
              <w:t>Spivak</w:t>
            </w:r>
            <w:proofErr w:type="spellEnd"/>
            <w:r w:rsidRPr="009553A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 </w:t>
            </w:r>
            <w:proofErr w:type="spellStart"/>
            <w:r w:rsidRPr="009553A9">
              <w:rPr>
                <w:rFonts w:ascii="Calibri" w:eastAsia="Times New Roman" w:hAnsi="Calibri" w:cs="Times New Roman"/>
                <w:color w:val="000000"/>
                <w:lang w:eastAsia="es-ES"/>
              </w:rPr>
              <w:t>Shure</w:t>
            </w:r>
            <w:proofErr w:type="spellEnd"/>
            <w:r w:rsidRPr="009553A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para la resolución de conflictos </w:t>
            </w:r>
          </w:p>
          <w:p w:rsidR="00695087" w:rsidRPr="009553A9" w:rsidRDefault="009553A9" w:rsidP="009553A9">
            <w:pPr>
              <w:pStyle w:val="Prrafodelista"/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El pensamiento de perspectiva o la empatía.</w:t>
            </w:r>
          </w:p>
        </w:tc>
      </w:tr>
      <w:tr w:rsidR="00695087" w:rsidRPr="00695087" w:rsidTr="006A520A">
        <w:tc>
          <w:tcPr>
            <w:tcW w:w="27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¿Conocen los/las asistentes el orden del día?</w:t>
            </w: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SI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NO</w:t>
            </w:r>
          </w:p>
        </w:tc>
      </w:tr>
      <w:tr w:rsidR="00695087" w:rsidRPr="00695087" w:rsidTr="006A520A">
        <w:tc>
          <w:tcPr>
            <w:tcW w:w="27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2D285A" w:rsidP="006950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SI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95087" w:rsidRPr="00695087" w:rsidTr="006A520A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Desarrollo de de la sesión</w:t>
            </w:r>
          </w:p>
          <w:p w:rsidR="00695087" w:rsidRPr="00695087" w:rsidRDefault="00695087" w:rsidP="0069508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7E4" w:rsidRPr="00E708B4" w:rsidRDefault="00E927E4" w:rsidP="00E927E4">
            <w:pPr>
              <w:spacing w:before="57" w:after="57" w:line="21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Habilidades Cognitivas </w:t>
            </w:r>
          </w:p>
          <w:p w:rsidR="00E927E4" w:rsidRPr="00E708B4" w:rsidRDefault="00E927E4" w:rsidP="00E927E4">
            <w:pPr>
              <w:spacing w:after="198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- Ejercicios prácticos de los cinco pensamientos de </w:t>
            </w:r>
            <w:proofErr w:type="spellStart"/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>Spivak</w:t>
            </w:r>
            <w:proofErr w:type="spellEnd"/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 </w:t>
            </w:r>
            <w:proofErr w:type="spellStart"/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>Shure</w:t>
            </w:r>
            <w:proofErr w:type="spellEnd"/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>: </w:t>
            </w:r>
            <w:proofErr w:type="gramStart"/>
            <w:r w:rsidRPr="00E708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causal</w:t>
            </w:r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proofErr w:type="gramEnd"/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diagnosticar una situación)</w:t>
            </w:r>
            <w:r w:rsidRPr="00E708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, alternativo </w:t>
            </w:r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>(nº de soluciones),</w:t>
            </w:r>
            <w:r w:rsidRPr="00E708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consecuencial </w:t>
            </w:r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>(prever los resultado</w:t>
            </w:r>
            <w:r w:rsidRPr="00E708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), de perspectiva </w:t>
            </w:r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>(empatía),</w:t>
            </w:r>
            <w:r w:rsidRPr="00E708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medios-fin (</w:t>
            </w:r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>metas</w:t>
            </w:r>
            <w:r w:rsidRPr="00E708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) </w:t>
            </w:r>
            <w:r w:rsidRPr="00E708B4">
              <w:rPr>
                <w:rFonts w:ascii="Calibri" w:eastAsia="Times New Roman" w:hAnsi="Calibri" w:cs="Times New Roman"/>
                <w:color w:val="000000"/>
                <w:lang w:eastAsia="es-ES"/>
              </w:rPr>
              <w:t>en situaciones de su vida diaria</w:t>
            </w:r>
            <w:r w:rsidRPr="00E708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.</w:t>
            </w:r>
          </w:p>
          <w:p w:rsidR="002D285A" w:rsidRPr="00E927E4" w:rsidRDefault="009553A9" w:rsidP="00E927E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E927E4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La empatía y la compasión.</w:t>
            </w:r>
          </w:p>
        </w:tc>
      </w:tr>
      <w:tr w:rsidR="00695087" w:rsidRPr="00695087" w:rsidTr="006A520A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2D285A" w:rsidP="00695087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el</w:t>
            </w:r>
            <w:r w:rsidR="00695087"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Conclusiones</w:t>
            </w:r>
            <w:proofErr w:type="spellEnd"/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808" w:rsidRDefault="007E3808" w:rsidP="007E3808">
            <w:pPr>
              <w:rPr>
                <w:sz w:val="28"/>
                <w:szCs w:val="28"/>
              </w:rPr>
            </w:pPr>
            <w:r w:rsidRPr="00914E8A">
              <w:rPr>
                <w:sz w:val="28"/>
                <w:szCs w:val="28"/>
              </w:rPr>
              <w:t xml:space="preserve">De acuerdo con su fundamento conceptual, </w:t>
            </w:r>
            <w:r>
              <w:rPr>
                <w:sz w:val="28"/>
                <w:szCs w:val="28"/>
              </w:rPr>
              <w:t xml:space="preserve">se han </w:t>
            </w:r>
            <w:r w:rsidR="002C054B">
              <w:rPr>
                <w:sz w:val="28"/>
                <w:szCs w:val="28"/>
              </w:rPr>
              <w:t>diseñado unos pasos para la  e</w:t>
            </w:r>
            <w:r w:rsidRPr="00914E8A">
              <w:rPr>
                <w:sz w:val="28"/>
                <w:szCs w:val="28"/>
              </w:rPr>
              <w:t xml:space="preserve">nseñanza de </w:t>
            </w:r>
            <w:r w:rsidR="002C054B">
              <w:rPr>
                <w:sz w:val="28"/>
                <w:szCs w:val="28"/>
              </w:rPr>
              <w:t>soluciones c</w:t>
            </w:r>
            <w:r w:rsidRPr="00914E8A">
              <w:rPr>
                <w:sz w:val="28"/>
                <w:szCs w:val="28"/>
              </w:rPr>
              <w:t>ognitiv</w:t>
            </w:r>
            <w:r w:rsidR="002C054B">
              <w:rPr>
                <w:sz w:val="28"/>
                <w:szCs w:val="28"/>
              </w:rPr>
              <w:t>as de Problemas Interpersonales. S</w:t>
            </w:r>
            <w:r w:rsidRPr="00914E8A">
              <w:rPr>
                <w:sz w:val="28"/>
                <w:szCs w:val="28"/>
              </w:rPr>
              <w:t xml:space="preserve">e </w:t>
            </w:r>
            <w:r w:rsidR="002C054B">
              <w:rPr>
                <w:sz w:val="28"/>
                <w:szCs w:val="28"/>
              </w:rPr>
              <w:t xml:space="preserve">ha </w:t>
            </w:r>
            <w:r w:rsidRPr="00914E8A">
              <w:rPr>
                <w:sz w:val="28"/>
                <w:szCs w:val="28"/>
              </w:rPr>
              <w:t>estructurado en seis</w:t>
            </w:r>
            <w:bookmarkStart w:id="0" w:name="_GoBack"/>
            <w:bookmarkEnd w:id="0"/>
            <w:r w:rsidR="002D285A">
              <w:rPr>
                <w:sz w:val="28"/>
                <w:szCs w:val="28"/>
              </w:rPr>
              <w:t xml:space="preserve"> </w:t>
            </w:r>
            <w:r w:rsidR="002C054B">
              <w:rPr>
                <w:sz w:val="28"/>
                <w:szCs w:val="28"/>
              </w:rPr>
              <w:t>pasos, cada uno</w:t>
            </w:r>
            <w:r w:rsidRPr="00914E8A">
              <w:rPr>
                <w:sz w:val="28"/>
                <w:szCs w:val="28"/>
              </w:rPr>
              <w:t xml:space="preserve"> de las cuales tiene como objetivo adiestrar en una clase de habilidad cognitiva concreta. </w:t>
            </w:r>
            <w:r w:rsidR="00EA6BD3">
              <w:rPr>
                <w:sz w:val="28"/>
                <w:szCs w:val="28"/>
              </w:rPr>
              <w:t>La realización de estos ejercicios en el aula servirá de entretenimiento para gestionar los conflictos de manera adecuada.</w:t>
            </w:r>
          </w:p>
          <w:p w:rsidR="00EA6BD3" w:rsidRDefault="00EA6BD3" w:rsidP="007E3808">
            <w:pPr>
              <w:rPr>
                <w:sz w:val="28"/>
                <w:szCs w:val="28"/>
              </w:rPr>
            </w:pPr>
          </w:p>
          <w:p w:rsidR="00695087" w:rsidRPr="007E3808" w:rsidRDefault="00695087" w:rsidP="007E38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95087" w:rsidRPr="00695087" w:rsidTr="006A520A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Tareas pendientes</w:t>
            </w:r>
          </w:p>
          <w:p w:rsidR="00695087" w:rsidRPr="00695087" w:rsidRDefault="00695087" w:rsidP="0069508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695087" w:rsidRPr="00695087" w:rsidRDefault="00695087" w:rsidP="0069508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  <w:p w:rsidR="00695087" w:rsidRPr="00695087" w:rsidRDefault="00695087" w:rsidP="0069508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95087" w:rsidRPr="00695087" w:rsidTr="006A520A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3"/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5087">
              <w:rPr>
                <w:rFonts w:ascii="Times New Roman" w:eastAsia="DejaVu Sans" w:hAnsi="Times New Roman" w:cs="DejaVu Sans"/>
                <w:b/>
                <w:bCs/>
                <w:kern w:val="3"/>
                <w:sz w:val="24"/>
                <w:szCs w:val="24"/>
                <w:lang w:eastAsia="zh-CN" w:bidi="hi-IN"/>
              </w:rPr>
              <w:t>Otras observaciones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087" w:rsidRPr="00695087" w:rsidRDefault="00695087" w:rsidP="006950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95087" w:rsidRPr="00695087" w:rsidRDefault="00695087" w:rsidP="00695087">
      <w:pPr>
        <w:widowControl w:val="0"/>
        <w:suppressAutoHyphens/>
        <w:autoSpaceDN w:val="0"/>
        <w:spacing w:after="120" w:line="240" w:lineRule="auto"/>
        <w:ind w:left="21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</w:p>
    <w:p w:rsidR="00E250F8" w:rsidRDefault="00E250F8"/>
    <w:sectPr w:rsidR="00E250F8" w:rsidSect="006155F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6DB"/>
    <w:multiLevelType w:val="hybridMultilevel"/>
    <w:tmpl w:val="B99E6CFA"/>
    <w:lvl w:ilvl="0" w:tplc="3A26336A">
      <w:start w:val="19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3883"/>
    <w:multiLevelType w:val="multilevel"/>
    <w:tmpl w:val="95F0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E07AD"/>
    <w:multiLevelType w:val="multilevel"/>
    <w:tmpl w:val="3D984A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D7C76F4"/>
    <w:multiLevelType w:val="multilevel"/>
    <w:tmpl w:val="9C0E353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4F75A35"/>
    <w:multiLevelType w:val="multilevel"/>
    <w:tmpl w:val="DC1EFC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7FB10CD"/>
    <w:multiLevelType w:val="multilevel"/>
    <w:tmpl w:val="934C2F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0AD6BEB"/>
    <w:multiLevelType w:val="multilevel"/>
    <w:tmpl w:val="B05A05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11917D2"/>
    <w:multiLevelType w:val="multilevel"/>
    <w:tmpl w:val="1A9ACD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D962CBD"/>
    <w:multiLevelType w:val="multilevel"/>
    <w:tmpl w:val="22B030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087"/>
    <w:rsid w:val="002C054B"/>
    <w:rsid w:val="002D285A"/>
    <w:rsid w:val="006155FD"/>
    <w:rsid w:val="00682709"/>
    <w:rsid w:val="00695087"/>
    <w:rsid w:val="007E3808"/>
    <w:rsid w:val="009553A9"/>
    <w:rsid w:val="00E250F8"/>
    <w:rsid w:val="00E927E4"/>
    <w:rsid w:val="00EA6BD3"/>
    <w:rsid w:val="00FE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D9BE-3147-45A8-AF7E-B2C25A55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5</cp:revision>
  <dcterms:created xsi:type="dcterms:W3CDTF">2017-03-11T14:13:00Z</dcterms:created>
  <dcterms:modified xsi:type="dcterms:W3CDTF">2017-03-14T11:12:00Z</dcterms:modified>
</cp:coreProperties>
</file>