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B6" w:rsidRDefault="0009670A" w:rsidP="0009670A">
      <w:pPr>
        <w:rPr>
          <w:rFonts w:ascii="Times New Roman" w:hAnsi="Times New Roman" w:cs="Times New Roman"/>
          <w:sz w:val="28"/>
        </w:rPr>
      </w:pPr>
      <w:r w:rsidRPr="008F79DB">
        <w:rPr>
          <w:rFonts w:ascii="Times New Roman" w:hAnsi="Times New Roman" w:cs="Times New Roman"/>
          <w:sz w:val="28"/>
        </w:rPr>
        <w:t xml:space="preserve">VALORACIÓN DE LOS DISTINTOS INSTRUMENTOS. </w:t>
      </w:r>
    </w:p>
    <w:p w:rsidR="0009670A" w:rsidRPr="009838B6" w:rsidRDefault="0009670A" w:rsidP="0009670A">
      <w:pPr>
        <w:rPr>
          <w:lang w:val="en-US"/>
        </w:rPr>
      </w:pPr>
      <w:proofErr w:type="spellStart"/>
      <w:r w:rsidRPr="009838B6">
        <w:rPr>
          <w:lang w:val="en-US"/>
        </w:rPr>
        <w:t>Procedente</w:t>
      </w:r>
      <w:proofErr w:type="spellEnd"/>
      <w:r w:rsidRPr="009838B6">
        <w:rPr>
          <w:lang w:val="en-US"/>
        </w:rPr>
        <w:t xml:space="preserve"> de Richards </w:t>
      </w:r>
      <w:proofErr w:type="spellStart"/>
      <w:r w:rsidRPr="009838B6">
        <w:rPr>
          <w:lang w:val="en-US"/>
        </w:rPr>
        <w:t>Stiggins</w:t>
      </w:r>
      <w:proofErr w:type="spellEnd"/>
      <w:r w:rsidRPr="009838B6">
        <w:rPr>
          <w:lang w:val="en-US"/>
        </w:rPr>
        <w:t>, “Student-Involved Assessment for Learning”, (2004)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9670A" w:rsidRPr="008F79DB" w:rsidTr="0009670A">
        <w:tc>
          <w:tcPr>
            <w:tcW w:w="2828" w:type="dxa"/>
            <w:vMerge w:val="restart"/>
            <w:shd w:val="clear" w:color="auto" w:fill="DDD9C3" w:themeFill="background2" w:themeFillShade="E6"/>
          </w:tcPr>
          <w:p w:rsidR="0009670A" w:rsidRPr="008F79DB" w:rsidRDefault="0009670A" w:rsidP="00FC490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9670A" w:rsidRDefault="0009670A" w:rsidP="00FC4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9DB">
              <w:rPr>
                <w:rFonts w:ascii="Times New Roman" w:hAnsi="Times New Roman" w:cs="Times New Roman"/>
                <w:sz w:val="24"/>
              </w:rPr>
              <w:t xml:space="preserve">Objetivos de aprendizaje </w:t>
            </w:r>
          </w:p>
          <w:p w:rsidR="0009670A" w:rsidRPr="008F79DB" w:rsidRDefault="0009670A" w:rsidP="009838B6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  <w:sz w:val="24"/>
              </w:rPr>
              <w:t>a evaluar</w:t>
            </w:r>
          </w:p>
        </w:tc>
        <w:tc>
          <w:tcPr>
            <w:tcW w:w="11316" w:type="dxa"/>
            <w:gridSpan w:val="4"/>
            <w:shd w:val="clear" w:color="auto" w:fill="DDD9C3" w:themeFill="background2" w:themeFillShade="E6"/>
          </w:tcPr>
          <w:p w:rsidR="0009670A" w:rsidRPr="008F79DB" w:rsidRDefault="0009670A" w:rsidP="00FC4902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  <w:sz w:val="24"/>
              </w:rPr>
              <w:t>Métodos de evaluación</w:t>
            </w:r>
          </w:p>
        </w:tc>
      </w:tr>
      <w:tr w:rsidR="0009670A" w:rsidRPr="008F79DB" w:rsidTr="0009670A">
        <w:tc>
          <w:tcPr>
            <w:tcW w:w="2828" w:type="dxa"/>
            <w:vMerge/>
            <w:shd w:val="clear" w:color="auto" w:fill="DDD9C3" w:themeFill="background2" w:themeFillShade="E6"/>
          </w:tcPr>
          <w:p w:rsidR="0009670A" w:rsidRPr="008F79DB" w:rsidRDefault="0009670A" w:rsidP="00FC4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shd w:val="clear" w:color="auto" w:fill="DDD9C3" w:themeFill="background2" w:themeFillShade="E6"/>
          </w:tcPr>
          <w:p w:rsidR="0009670A" w:rsidRPr="009838B6" w:rsidRDefault="0009670A" w:rsidP="00FC4902">
            <w:pPr>
              <w:rPr>
                <w:rFonts w:ascii="Times New Roman" w:hAnsi="Times New Roman" w:cs="Times New Roman"/>
                <w:sz w:val="20"/>
              </w:rPr>
            </w:pPr>
            <w:r w:rsidRPr="009838B6">
              <w:rPr>
                <w:rFonts w:ascii="Times New Roman" w:hAnsi="Times New Roman" w:cs="Times New Roman"/>
                <w:sz w:val="20"/>
              </w:rPr>
              <w:t>Respuesta seleccionada y/o respuesta corta</w:t>
            </w:r>
          </w:p>
        </w:tc>
        <w:tc>
          <w:tcPr>
            <w:tcW w:w="2829" w:type="dxa"/>
            <w:shd w:val="clear" w:color="auto" w:fill="DDD9C3" w:themeFill="background2" w:themeFillShade="E6"/>
          </w:tcPr>
          <w:p w:rsidR="0009670A" w:rsidRPr="009838B6" w:rsidRDefault="0009670A" w:rsidP="00FC4902">
            <w:pPr>
              <w:rPr>
                <w:rFonts w:ascii="Times New Roman" w:hAnsi="Times New Roman" w:cs="Times New Roman"/>
                <w:sz w:val="20"/>
              </w:rPr>
            </w:pPr>
            <w:r w:rsidRPr="009838B6">
              <w:rPr>
                <w:rFonts w:ascii="Times New Roman" w:hAnsi="Times New Roman" w:cs="Times New Roman"/>
                <w:sz w:val="20"/>
              </w:rPr>
              <w:t>Respuesta extensa</w:t>
            </w:r>
          </w:p>
        </w:tc>
        <w:tc>
          <w:tcPr>
            <w:tcW w:w="2829" w:type="dxa"/>
            <w:shd w:val="clear" w:color="auto" w:fill="DDD9C3" w:themeFill="background2" w:themeFillShade="E6"/>
          </w:tcPr>
          <w:p w:rsidR="0009670A" w:rsidRPr="009838B6" w:rsidRDefault="0009670A" w:rsidP="00FC4902">
            <w:pPr>
              <w:rPr>
                <w:rFonts w:ascii="Times New Roman" w:hAnsi="Times New Roman" w:cs="Times New Roman"/>
                <w:sz w:val="20"/>
              </w:rPr>
            </w:pPr>
            <w:r w:rsidRPr="009838B6">
              <w:rPr>
                <w:rFonts w:ascii="Times New Roman" w:hAnsi="Times New Roman" w:cs="Times New Roman"/>
                <w:sz w:val="20"/>
              </w:rPr>
              <w:t>Evaluación del desempeño mediante la evaluación</w:t>
            </w:r>
          </w:p>
        </w:tc>
        <w:tc>
          <w:tcPr>
            <w:tcW w:w="2829" w:type="dxa"/>
            <w:shd w:val="clear" w:color="auto" w:fill="DDD9C3" w:themeFill="background2" w:themeFillShade="E6"/>
          </w:tcPr>
          <w:p w:rsidR="0009670A" w:rsidRPr="009838B6" w:rsidRDefault="0009670A" w:rsidP="00FC4902">
            <w:pPr>
              <w:rPr>
                <w:rFonts w:ascii="Times New Roman" w:hAnsi="Times New Roman" w:cs="Times New Roman"/>
                <w:sz w:val="20"/>
              </w:rPr>
            </w:pPr>
            <w:r w:rsidRPr="009838B6">
              <w:rPr>
                <w:rFonts w:ascii="Times New Roman" w:hAnsi="Times New Roman" w:cs="Times New Roman"/>
                <w:sz w:val="20"/>
              </w:rPr>
              <w:t xml:space="preserve">Comunicación personal </w:t>
            </w:r>
          </w:p>
        </w:tc>
      </w:tr>
      <w:tr w:rsidR="0009670A" w:rsidRPr="008F79DB" w:rsidTr="009838B6">
        <w:trPr>
          <w:trHeight w:val="1613"/>
        </w:trPr>
        <w:tc>
          <w:tcPr>
            <w:tcW w:w="2828" w:type="dxa"/>
            <w:shd w:val="clear" w:color="auto" w:fill="EEECE1" w:themeFill="background2"/>
            <w:vAlign w:val="center"/>
          </w:tcPr>
          <w:p w:rsidR="0009670A" w:rsidRPr="008F79DB" w:rsidRDefault="0009670A" w:rsidP="00FC4902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Dominio del conocimiento</w:t>
            </w:r>
          </w:p>
        </w:tc>
        <w:tc>
          <w:tcPr>
            <w:tcW w:w="2829" w:type="dxa"/>
          </w:tcPr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Buena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adecuación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para la</w:t>
            </w:r>
          </w:p>
          <w:p w:rsidR="0009670A" w:rsidRPr="008F79DB" w:rsidRDefault="0009670A" w:rsidP="009838B6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evaluación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conocimientos</w:t>
            </w:r>
          </w:p>
        </w:tc>
        <w:tc>
          <w:tcPr>
            <w:tcW w:w="2829" w:type="dxa"/>
          </w:tcPr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Buena adecuación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para la explotación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 xml:space="preserve">de la </w:t>
            </w:r>
            <w:r>
              <w:rPr>
                <w:rFonts w:ascii="Times New Roman" w:hAnsi="Times New Roman" w:cs="Times New Roman"/>
              </w:rPr>
              <w:t>c</w:t>
            </w:r>
            <w:r w:rsidRPr="0009670A">
              <w:rPr>
                <w:rFonts w:ascii="Times New Roman" w:hAnsi="Times New Roman" w:cs="Times New Roman"/>
              </w:rPr>
              <w:t>omprensión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 xml:space="preserve">de las </w:t>
            </w:r>
            <w:r>
              <w:rPr>
                <w:rFonts w:ascii="Times New Roman" w:hAnsi="Times New Roman" w:cs="Times New Roman"/>
              </w:rPr>
              <w:t>r</w:t>
            </w:r>
            <w:r w:rsidRPr="0009670A">
              <w:rPr>
                <w:rFonts w:ascii="Times New Roman" w:hAnsi="Times New Roman" w:cs="Times New Roman"/>
              </w:rPr>
              <w:t>elaciones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entre elementos de</w:t>
            </w:r>
          </w:p>
          <w:p w:rsidR="0009670A" w:rsidRPr="008F79DB" w:rsidRDefault="0009670A" w:rsidP="009838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r w:rsidRPr="0009670A">
              <w:rPr>
                <w:rFonts w:ascii="Times New Roman" w:hAnsi="Times New Roman" w:cs="Times New Roman"/>
              </w:rPr>
              <w:t>onocimiento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9" w:type="dxa"/>
          </w:tcPr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No hay buena adecuación.</w:t>
            </w:r>
          </w:p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Se consume demasiado</w:t>
            </w:r>
          </w:p>
          <w:p w:rsidR="0009670A" w:rsidRPr="008F79DB" w:rsidRDefault="0009670A" w:rsidP="009838B6">
            <w:pPr>
              <w:rPr>
                <w:rFonts w:ascii="Times New Roman" w:hAnsi="Times New Roman" w:cs="Times New Roman"/>
              </w:rPr>
            </w:pPr>
            <w:proofErr w:type="gramStart"/>
            <w:r w:rsidRPr="0009670A">
              <w:rPr>
                <w:rFonts w:ascii="Times New Roman" w:hAnsi="Times New Roman" w:cs="Times New Roman"/>
              </w:rPr>
              <w:t>tiempo</w:t>
            </w:r>
            <w:proofErr w:type="gramEnd"/>
            <w:r w:rsidRPr="0009670A">
              <w:rPr>
                <w:rFonts w:ascii="Times New Roman" w:hAnsi="Times New Roman" w:cs="Times New Roman"/>
              </w:rPr>
              <w:t xml:space="preserve"> para cubrir todo.</w:t>
            </w:r>
          </w:p>
        </w:tc>
        <w:tc>
          <w:tcPr>
            <w:tcW w:w="2829" w:type="dxa"/>
          </w:tcPr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Se pueden hacer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preguntas,  evaluar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respuestas e inferir</w:t>
            </w:r>
          </w:p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dominio del tema, pero</w:t>
            </w:r>
          </w:p>
          <w:p w:rsidR="0009670A" w:rsidRPr="008F79DB" w:rsidRDefault="0009670A" w:rsidP="009838B6">
            <w:pPr>
              <w:rPr>
                <w:rFonts w:ascii="Times New Roman" w:hAnsi="Times New Roman" w:cs="Times New Roman"/>
              </w:rPr>
            </w:pPr>
            <w:proofErr w:type="gramStart"/>
            <w:r w:rsidRPr="0009670A">
              <w:rPr>
                <w:rFonts w:ascii="Times New Roman" w:hAnsi="Times New Roman" w:cs="Times New Roman"/>
              </w:rPr>
              <w:t>supone</w:t>
            </w:r>
            <w:proofErr w:type="gramEnd"/>
            <w:r w:rsidRPr="0009670A">
              <w:rPr>
                <w:rFonts w:ascii="Times New Roman" w:hAnsi="Times New Roman" w:cs="Times New Roman"/>
              </w:rPr>
              <w:t xml:space="preserve"> consumir mucho tiempo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9670A" w:rsidRPr="008F79DB" w:rsidTr="0009670A">
        <w:tc>
          <w:tcPr>
            <w:tcW w:w="2828" w:type="dxa"/>
            <w:shd w:val="clear" w:color="auto" w:fill="EEECE1" w:themeFill="background2"/>
            <w:vAlign w:val="center"/>
          </w:tcPr>
          <w:p w:rsidR="0009670A" w:rsidRDefault="0009670A" w:rsidP="00FC4902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 xml:space="preserve">Suficiencia en </w:t>
            </w:r>
          </w:p>
          <w:p w:rsidR="0009670A" w:rsidRPr="008F79DB" w:rsidRDefault="0009670A" w:rsidP="00FC4902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comprensión y razonamiento</w:t>
            </w:r>
          </w:p>
        </w:tc>
        <w:tc>
          <w:tcPr>
            <w:tcW w:w="2829" w:type="dxa"/>
          </w:tcPr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Solo una buena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adecuación para la evaluación de la</w:t>
            </w:r>
          </w:p>
          <w:p w:rsidR="0009670A" w:rsidRPr="008F79DB" w:rsidRDefault="0009670A" w:rsidP="009838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r w:rsidRPr="0009670A">
              <w:rPr>
                <w:rFonts w:ascii="Times New Roman" w:hAnsi="Times New Roman" w:cs="Times New Roman"/>
              </w:rPr>
              <w:t>omprensión</w:t>
            </w:r>
            <w:proofErr w:type="gramEnd"/>
            <w:r w:rsidRPr="0009670A">
              <w:rPr>
                <w:rFonts w:ascii="Times New Roman" w:hAnsi="Times New Roman" w:cs="Times New Roman"/>
              </w:rPr>
              <w:t xml:space="preserve"> de algunos patrones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razonamiento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9" w:type="dxa"/>
          </w:tcPr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Las descripciones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escritas de la solución a problemas complejos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genera una ventana a la suficiencia en el</w:t>
            </w:r>
          </w:p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</w:t>
            </w:r>
            <w:r w:rsidRPr="0009670A">
              <w:rPr>
                <w:rFonts w:ascii="Times New Roman" w:hAnsi="Times New Roman" w:cs="Times New Roman"/>
              </w:rPr>
              <w:t>azonamiento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9670A" w:rsidRPr="008F79DB" w:rsidRDefault="0009670A" w:rsidP="00FC4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Se puede observar a</w:t>
            </w:r>
            <w:r>
              <w:rPr>
                <w:rFonts w:ascii="Times New Roman" w:hAnsi="Times New Roman" w:cs="Times New Roman"/>
              </w:rPr>
              <w:t xml:space="preserve"> los alumnos/as </w:t>
            </w:r>
            <w:r w:rsidRPr="0009670A">
              <w:rPr>
                <w:rFonts w:ascii="Times New Roman" w:hAnsi="Times New Roman" w:cs="Times New Roman"/>
              </w:rPr>
              <w:t>resolviendo problemas y, a partir de ahí, inferir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suficiencia en</w:t>
            </w:r>
            <w:r>
              <w:rPr>
                <w:rFonts w:ascii="Times New Roman" w:hAnsi="Times New Roman" w:cs="Times New Roman"/>
              </w:rPr>
              <w:t xml:space="preserve"> el r</w:t>
            </w:r>
            <w:r w:rsidRPr="0009670A">
              <w:rPr>
                <w:rFonts w:ascii="Times New Roman" w:hAnsi="Times New Roman" w:cs="Times New Roman"/>
              </w:rPr>
              <w:t>azonamiento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670A" w:rsidRPr="008F79DB" w:rsidRDefault="0009670A" w:rsidP="00FC4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9670A">
              <w:rPr>
                <w:rFonts w:ascii="Times New Roman" w:hAnsi="Times New Roman" w:cs="Times New Roman"/>
              </w:rPr>
              <w:t>e puede pedir a 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 xml:space="preserve">umno/a </w:t>
            </w:r>
            <w:r w:rsidRPr="0009670A">
              <w:rPr>
                <w:rFonts w:ascii="Times New Roman" w:hAnsi="Times New Roman" w:cs="Times New Roman"/>
              </w:rPr>
              <w:t>“pensar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voz alta” o se pueden hacer preguntas de</w:t>
            </w:r>
          </w:p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Seguimiento para</w:t>
            </w:r>
            <w:r>
              <w:rPr>
                <w:rFonts w:ascii="Times New Roman" w:hAnsi="Times New Roman" w:cs="Times New Roman"/>
              </w:rPr>
              <w:t xml:space="preserve"> c</w:t>
            </w:r>
            <w:r w:rsidRPr="0009670A">
              <w:rPr>
                <w:rFonts w:ascii="Times New Roman" w:hAnsi="Times New Roman" w:cs="Times New Roman"/>
              </w:rPr>
              <w:t xml:space="preserve">omprobar </w:t>
            </w:r>
            <w:r>
              <w:rPr>
                <w:rFonts w:ascii="Times New Roman" w:hAnsi="Times New Roman" w:cs="Times New Roman"/>
              </w:rPr>
              <w:t xml:space="preserve">el </w:t>
            </w:r>
            <w:r w:rsidRPr="0009670A">
              <w:rPr>
                <w:rFonts w:ascii="Times New Roman" w:hAnsi="Times New Roman" w:cs="Times New Roman"/>
              </w:rPr>
              <w:t>razonamiento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670A" w:rsidRPr="008F79DB" w:rsidRDefault="0009670A" w:rsidP="00FC4902">
            <w:pPr>
              <w:rPr>
                <w:rFonts w:ascii="Times New Roman" w:hAnsi="Times New Roman" w:cs="Times New Roman"/>
              </w:rPr>
            </w:pPr>
          </w:p>
        </w:tc>
      </w:tr>
      <w:tr w:rsidR="0009670A" w:rsidRPr="008F79DB" w:rsidTr="0009670A">
        <w:tc>
          <w:tcPr>
            <w:tcW w:w="2828" w:type="dxa"/>
            <w:shd w:val="clear" w:color="auto" w:fill="EEECE1" w:themeFill="background2"/>
            <w:vAlign w:val="center"/>
          </w:tcPr>
          <w:p w:rsidR="0009670A" w:rsidRDefault="0009670A" w:rsidP="00FC4902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 xml:space="preserve">Competencias </w:t>
            </w:r>
          </w:p>
          <w:p w:rsidR="0009670A" w:rsidRPr="008F79DB" w:rsidRDefault="0009670A" w:rsidP="00FC4902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(motoras y cognitivas)</w:t>
            </w:r>
          </w:p>
        </w:tc>
        <w:tc>
          <w:tcPr>
            <w:tcW w:w="5658" w:type="dxa"/>
            <w:gridSpan w:val="2"/>
          </w:tcPr>
          <w:p w:rsidR="0009670A" w:rsidRPr="008F79DB" w:rsidRDefault="0009670A" w:rsidP="009838B6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No hay buena adecuación.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Se puede hacer una evaluación del dominio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los conocimientos previos necesarios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competencia, pero no se puede evaluar con estos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 xml:space="preserve">métodos la propia competencia que ha de verse en un 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09670A">
              <w:rPr>
                <w:rFonts w:ascii="Times New Roman" w:hAnsi="Times New Roman" w:cs="Times New Roman"/>
              </w:rPr>
              <w:t>esempeño o ejecución</w:t>
            </w:r>
            <w:r w:rsidR="009838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9" w:type="dxa"/>
          </w:tcPr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Buena adecuación.</w:t>
            </w:r>
          </w:p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Se puede observar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evaluar la competencia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al tiempo que se produce el desempeño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670A" w:rsidRPr="008F79DB" w:rsidRDefault="0009670A" w:rsidP="00FC4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Fuerte adecuación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cuando la competencia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 xml:space="preserve">es la </w:t>
            </w:r>
            <w:r>
              <w:rPr>
                <w:rFonts w:ascii="Times New Roman" w:hAnsi="Times New Roman" w:cs="Times New Roman"/>
              </w:rPr>
              <w:t>c</w:t>
            </w:r>
            <w:r w:rsidRPr="0009670A">
              <w:rPr>
                <w:rFonts w:ascii="Times New Roman" w:hAnsi="Times New Roman" w:cs="Times New Roman"/>
              </w:rPr>
              <w:t>omunicación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oral. No adecuado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el resto de los casos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670A" w:rsidRPr="008F79DB" w:rsidRDefault="0009670A" w:rsidP="00FC4902">
            <w:pPr>
              <w:rPr>
                <w:rFonts w:ascii="Times New Roman" w:hAnsi="Times New Roman" w:cs="Times New Roman"/>
              </w:rPr>
            </w:pPr>
          </w:p>
        </w:tc>
      </w:tr>
      <w:tr w:rsidR="0009670A" w:rsidRPr="008F79DB" w:rsidTr="0009670A">
        <w:tc>
          <w:tcPr>
            <w:tcW w:w="2828" w:type="dxa"/>
            <w:shd w:val="clear" w:color="auto" w:fill="EEECE1" w:themeFill="background2"/>
            <w:vAlign w:val="center"/>
          </w:tcPr>
          <w:p w:rsidR="0009670A" w:rsidRDefault="0009670A" w:rsidP="00FC4902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 xml:space="preserve">Habilidad </w:t>
            </w:r>
          </w:p>
          <w:p w:rsidR="0009670A" w:rsidRDefault="0009670A" w:rsidP="00FC4902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 xml:space="preserve">para la creación </w:t>
            </w:r>
          </w:p>
          <w:p w:rsidR="0009670A" w:rsidRPr="008F79DB" w:rsidRDefault="0009670A" w:rsidP="00FC4902">
            <w:pPr>
              <w:jc w:val="center"/>
              <w:rPr>
                <w:rFonts w:ascii="Times New Roman" w:hAnsi="Times New Roman" w:cs="Times New Roman"/>
              </w:rPr>
            </w:pPr>
            <w:r w:rsidRPr="008F79DB">
              <w:rPr>
                <w:rFonts w:ascii="Times New Roman" w:hAnsi="Times New Roman" w:cs="Times New Roman"/>
              </w:rPr>
              <w:t>de productos</w:t>
            </w:r>
          </w:p>
        </w:tc>
        <w:tc>
          <w:tcPr>
            <w:tcW w:w="2829" w:type="dxa"/>
          </w:tcPr>
          <w:p w:rsidR="0009670A" w:rsidRPr="008F79DB" w:rsidRDefault="0009670A" w:rsidP="009838B6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No muy adecuado.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puede evaluar el dominio de conocimientos previos, pero no permite evaluar la calidad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producto en sí mismo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9" w:type="dxa"/>
          </w:tcPr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Fuerte adecuación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cuando el producto 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un escrito.</w:t>
            </w:r>
          </w:p>
          <w:p w:rsidR="0009670A" w:rsidRPr="008F79DB" w:rsidRDefault="0009670A" w:rsidP="009838B6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No adecuado cuando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producto no es un escrito</w:t>
            </w:r>
            <w:r w:rsidR="009838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9" w:type="dxa"/>
          </w:tcPr>
          <w:p w:rsidR="0009670A" w:rsidRPr="0009670A" w:rsidRDefault="0009670A" w:rsidP="0009670A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Buena adecuación.</w:t>
            </w:r>
          </w:p>
          <w:p w:rsidR="0009670A" w:rsidRPr="008F79DB" w:rsidRDefault="0009670A" w:rsidP="009838B6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Permite la evaluación de los atributos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 xml:space="preserve">del mismo </w:t>
            </w:r>
            <w:r>
              <w:rPr>
                <w:rFonts w:ascii="Times New Roman" w:hAnsi="Times New Roman" w:cs="Times New Roman"/>
              </w:rPr>
              <w:t>p</w:t>
            </w:r>
            <w:r w:rsidRPr="0009670A">
              <w:rPr>
                <w:rFonts w:ascii="Times New Roman" w:hAnsi="Times New Roman" w:cs="Times New Roman"/>
              </w:rPr>
              <w:t>roducto,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70A">
              <w:rPr>
                <w:rFonts w:ascii="Times New Roman" w:hAnsi="Times New Roman" w:cs="Times New Roman"/>
              </w:rPr>
              <w:t>mediante la observación y análisis de los detalles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9" w:type="dxa"/>
          </w:tcPr>
          <w:p w:rsidR="0009670A" w:rsidRPr="008F79DB" w:rsidRDefault="0009670A" w:rsidP="009838B6">
            <w:pPr>
              <w:rPr>
                <w:rFonts w:ascii="Times New Roman" w:hAnsi="Times New Roman" w:cs="Times New Roman"/>
              </w:rPr>
            </w:pPr>
            <w:r w:rsidRPr="0009670A">
              <w:rPr>
                <w:rFonts w:ascii="Times New Roman" w:hAnsi="Times New Roman" w:cs="Times New Roman"/>
              </w:rPr>
              <w:t>Inadecuado</w:t>
            </w:r>
            <w:r w:rsidR="009838B6">
              <w:rPr>
                <w:rFonts w:ascii="Times New Roman" w:hAnsi="Times New Roman" w:cs="Times New Roman"/>
              </w:rPr>
              <w:t>.</w:t>
            </w:r>
          </w:p>
        </w:tc>
      </w:tr>
    </w:tbl>
    <w:p w:rsidR="00C30E9B" w:rsidRDefault="00C30E9B" w:rsidP="009838B6">
      <w:bookmarkStart w:id="0" w:name="_GoBack"/>
      <w:bookmarkEnd w:id="0"/>
    </w:p>
    <w:sectPr w:rsidR="00C30E9B" w:rsidSect="008F79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0A"/>
    <w:rsid w:val="0009670A"/>
    <w:rsid w:val="009838B6"/>
    <w:rsid w:val="00C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7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7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2017-03-05T20:29:00Z</dcterms:created>
  <dcterms:modified xsi:type="dcterms:W3CDTF">2017-03-05T20:41:00Z</dcterms:modified>
</cp:coreProperties>
</file>