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4" w:rsidRDefault="006C63A4" w:rsidP="006C63A4">
      <w:pPr>
        <w:pageBreakBefore/>
        <w:ind w:left="-139" w:firstLine="560"/>
        <w:jc w:val="center"/>
        <w:rPr>
          <w:rStyle w:val="Fuentedeprrafopredeter1"/>
          <w:b/>
          <w:bCs/>
          <w:u w:val="single"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ANEXO MEMORIA FINAL PROYECTO FORMACIÓN EN CENTROS</w:t>
      </w:r>
    </w:p>
    <w:p w:rsidR="006C63A4" w:rsidRDefault="006C63A4" w:rsidP="006C63A4">
      <w:pPr>
        <w:ind w:left="-139" w:firstLine="560"/>
        <w:jc w:val="center"/>
        <w:rPr>
          <w:b/>
          <w:bCs/>
          <w:u w:val="single"/>
          <w:lang w:val="es-ES"/>
        </w:rPr>
      </w:pP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TÍTULO:</w:t>
      </w:r>
      <w:r>
        <w:rPr>
          <w:rStyle w:val="Fuentedeprrafopredeter1"/>
          <w:b/>
          <w:bCs/>
          <w:lang w:val="es-ES"/>
        </w:rPr>
        <w:t xml:space="preserve">  </w:t>
      </w:r>
      <w:r w:rsidR="003438C8">
        <w:rPr>
          <w:rStyle w:val="Fuentedeprrafopredeter1"/>
          <w:b/>
          <w:bCs/>
          <w:lang w:val="es-ES"/>
        </w:rPr>
        <w:t xml:space="preserve"> </w:t>
      </w:r>
      <w:r>
        <w:rPr>
          <w:rStyle w:val="Fuentedeprrafopredeter1"/>
          <w:b/>
          <w:bCs/>
          <w:lang w:val="es-ES"/>
        </w:rPr>
        <w:t>EL TRABAJO POR PROYECTOS COMO VIA PARA LA ADQUISICIÓN DE LAS COMPETENCIAS CLAVE</w:t>
      </w: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CÓD.:</w:t>
      </w:r>
      <w:r>
        <w:rPr>
          <w:rStyle w:val="Fuentedeprrafopredeter1"/>
          <w:b/>
          <w:bCs/>
          <w:lang w:val="es-ES"/>
        </w:rPr>
        <w:t xml:space="preserve">       172319FC010</w:t>
      </w:r>
    </w:p>
    <w:p w:rsidR="00F75186" w:rsidRPr="00366717" w:rsidRDefault="00F75186" w:rsidP="00F75186">
      <w:pPr>
        <w:ind w:left="-139" w:firstLine="560"/>
        <w:jc w:val="both"/>
        <w:rPr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CENTRO:</w:t>
      </w:r>
      <w:r>
        <w:rPr>
          <w:rStyle w:val="Fuentedeprrafopredeter1"/>
          <w:b/>
          <w:bCs/>
          <w:lang w:val="es-ES"/>
        </w:rPr>
        <w:t xml:space="preserve">   CEIP FÉLIX RODRÍGUEZ DE LA FUENTE (ANDÚJAR)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Pr="00D5614B" w:rsidRDefault="006C63A4" w:rsidP="00D5614B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D5614B">
        <w:rPr>
          <w:rStyle w:val="Fuentedeprrafopredeter1"/>
          <w:b/>
          <w:bCs/>
          <w:lang w:val="es-ES"/>
        </w:rPr>
        <w:t>RESULTADOS OBTENIDOS EN RELACIÓN CON LOS OBJETIVOS Y ACTUACIONES PROPUESTAS:</w:t>
      </w:r>
    </w:p>
    <w:p w:rsidR="00D5614B" w:rsidRPr="00D5614B" w:rsidRDefault="00D5614B" w:rsidP="00D5614B">
      <w:pPr>
        <w:pStyle w:val="Prrafodelista"/>
        <w:ind w:left="221"/>
        <w:rPr>
          <w:rStyle w:val="Fuentedeprrafopredeter1"/>
          <w:b/>
          <w:bCs/>
          <w:lang w:val="es-ES"/>
        </w:rPr>
      </w:pPr>
    </w:p>
    <w:p w:rsidR="00D5614B" w:rsidRPr="00EA4D82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Los resultados obtenidos en el </w:t>
      </w:r>
      <w:r w:rsidRPr="00EA4D82">
        <w:rPr>
          <w:rFonts w:ascii="Tahoma" w:hAnsi="Tahoma" w:cs="Tahoma"/>
          <w:b/>
          <w:color w:val="333333"/>
          <w:sz w:val="22"/>
          <w:szCs w:val="22"/>
        </w:rPr>
        <w:t>Aula de Apoyo a la Integración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en relación con los objetivos y las actuaciones propuestas pueden calificarse de </w:t>
      </w:r>
      <w:r w:rsidRPr="00EA4D82">
        <w:rPr>
          <w:rFonts w:ascii="Tahoma" w:hAnsi="Tahoma" w:cs="Tahoma"/>
          <w:b/>
          <w:color w:val="333333"/>
          <w:sz w:val="22"/>
          <w:szCs w:val="22"/>
        </w:rPr>
        <w:t>muy satisfactorios</w:t>
      </w:r>
      <w:r w:rsidRPr="00EA4D82">
        <w:rPr>
          <w:rFonts w:ascii="Tahoma" w:hAnsi="Tahoma" w:cs="Tahoma"/>
          <w:color w:val="333333"/>
          <w:sz w:val="22"/>
          <w:szCs w:val="22"/>
        </w:rPr>
        <w:t>.</w:t>
      </w:r>
    </w:p>
    <w:p w:rsidR="006C63A4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>A través de las diferentes actividades realizadas hemos puesto en marcha la metodología y las herramientas de aprendizaje eficaces, de acuerdo con la normativa actual, se ha  implicado a la comunidad educativa en el aprendizaje activo, participativo y cooperativo. Se ha mejorado la colaboración y la comunicación entre el alumnado que acude al A.A.I., hemos logrado un ambiente de trabajo de aula positivo, reforzando los valores del compañerismo, trabajo en equipo y la amistad. La motivación del alumnado ha ido en aumento, así como la creatividad y la capacidad de innovación. Hemos promovido la capacidad de investigación y se han trabajado diferentes áreas de forma interdisciplinar, todas ellas alrededor del centro de interés del proyecto.</w:t>
      </w:r>
    </w:p>
    <w:p w:rsidR="00D5614B" w:rsidRP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2. MATERIALES REALIZADOS (DESCRIPCIÓN DEL CONTENIDO):</w:t>
      </w: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3438C8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>Los materiales realizados han sido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 muy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variados.</w:t>
      </w: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>En cuanto al</w:t>
      </w:r>
      <w:r>
        <w:rPr>
          <w:rFonts w:ascii="Tahoma" w:hAnsi="Tahoma" w:cs="Tahoma"/>
          <w:color w:val="333333"/>
          <w:sz w:val="22"/>
          <w:szCs w:val="22"/>
        </w:rPr>
        <w:t xml:space="preserve"> desarrollo de las Competencias Clave a través de la Cocina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(</w:t>
      </w:r>
      <w:r w:rsidRPr="00EA4D82">
        <w:rPr>
          <w:rFonts w:ascii="Tahoma" w:hAnsi="Tahoma" w:cs="Tahoma"/>
          <w:color w:val="333333"/>
          <w:sz w:val="22"/>
          <w:szCs w:val="22"/>
        </w:rPr>
        <w:t>Proyecto del T</w:t>
      </w:r>
      <w:r>
        <w:rPr>
          <w:rFonts w:ascii="Tahoma" w:hAnsi="Tahoma" w:cs="Tahoma"/>
          <w:color w:val="333333"/>
          <w:sz w:val="22"/>
          <w:szCs w:val="22"/>
        </w:rPr>
        <w:t>aller de Cocina), hemos elaborado las siguientes recetas:</w:t>
      </w:r>
    </w:p>
    <w:p w:rsidR="00D5614B" w:rsidRPr="00EA4D82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Galletas de Halloween. Proyecto “El Chocolate”.</w:t>
      </w:r>
    </w:p>
    <w:p w:rsidR="00D5614B" w:rsidRPr="00EA4D82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- Piruletas de chocolate con </w:t>
      </w:r>
      <w:r>
        <w:rPr>
          <w:rFonts w:ascii="Tahoma" w:hAnsi="Tahoma" w:cs="Tahoma"/>
          <w:color w:val="333333"/>
          <w:sz w:val="22"/>
          <w:szCs w:val="22"/>
        </w:rPr>
        <w:t xml:space="preserve">Peta Zeta. 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Proyecto “El Chocolate”.</w:t>
      </w:r>
    </w:p>
    <w:p w:rsidR="00D5614B" w:rsidRPr="00EA4D82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>- Comida típica Japonesa:</w:t>
      </w:r>
      <w:r>
        <w:rPr>
          <w:rFonts w:ascii="Tahoma" w:hAnsi="Tahoma" w:cs="Tahoma"/>
          <w:color w:val="333333"/>
          <w:sz w:val="22"/>
          <w:szCs w:val="22"/>
        </w:rPr>
        <w:t xml:space="preserve"> Yakisoba. </w:t>
      </w:r>
      <w:r w:rsidRPr="00EA4D82">
        <w:rPr>
          <w:rFonts w:ascii="Tahoma" w:hAnsi="Tahoma" w:cs="Tahoma"/>
          <w:color w:val="333333"/>
          <w:sz w:val="22"/>
          <w:szCs w:val="22"/>
        </w:rPr>
        <w:t>Proyecto “Viajamos por Asia”.</w:t>
      </w: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- Postre típico Ruso: </w:t>
      </w:r>
      <w:r>
        <w:rPr>
          <w:rFonts w:ascii="Tahoma" w:hAnsi="Tahoma" w:cs="Tahoma"/>
          <w:color w:val="333333"/>
          <w:sz w:val="22"/>
          <w:szCs w:val="22"/>
        </w:rPr>
        <w:t xml:space="preserve">Vatruska. </w:t>
      </w:r>
      <w:r w:rsidRPr="00EA4D82">
        <w:rPr>
          <w:rFonts w:ascii="Tahoma" w:hAnsi="Tahoma" w:cs="Tahoma"/>
          <w:color w:val="333333"/>
          <w:sz w:val="22"/>
          <w:szCs w:val="22"/>
        </w:rPr>
        <w:t>Proyecto “Viajamos por Asia”.</w:t>
      </w:r>
    </w:p>
    <w:p w:rsidR="00EE3A72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- Pasar todas las recetas a las plantillas establecidas en el grupo de trabajo.</w:t>
      </w:r>
    </w:p>
    <w:p w:rsidR="00EE3A72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Invención de 5 problemas matemáticos relacionados con los hábitos de vida saludable, alimentación, deporte, etc… y su resolución. Posteriormente se han pasado a las plantillas correspondientes. Dichos problemas, aunque van destinados a tercer ciclo, lo hemos trabajado con el Alumnado de Altas Capacidades que asiste al Aula de Apoyo a la Integración.</w:t>
      </w: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Respecto al Trabajo por Proyectos, hemos elaborado uno propio para nuestra clase</w:t>
      </w:r>
      <w:r w:rsidR="00EE3A72">
        <w:rPr>
          <w:rFonts w:ascii="Tahoma" w:hAnsi="Tahoma" w:cs="Tahoma"/>
          <w:color w:val="333333"/>
          <w:sz w:val="22"/>
          <w:szCs w:val="22"/>
        </w:rPr>
        <w:t>, con el alumnado de Altas Capacidades,</w:t>
      </w:r>
      <w:r>
        <w:rPr>
          <w:rFonts w:ascii="Tahoma" w:hAnsi="Tahoma" w:cs="Tahoma"/>
          <w:color w:val="333333"/>
          <w:sz w:val="22"/>
          <w:szCs w:val="22"/>
        </w:rPr>
        <w:t xml:space="preserve"> que se titula “Viajamos por Asia”. Lo hemos relacionado con el Proyecto de “Félix Rodríguez de la Fuente” enlazándolo a través de las áreas de Ciencias Sociales y Naturales, comparando la flora y fauna ibérica con la flora y fauna más representativa de Rusia y Japón. Así mismo hemos estudiado los diferentes lugares del continente Asiático que fueron visitados por Félix Rodríguez de la Fuente.</w:t>
      </w:r>
    </w:p>
    <w:p w:rsidR="006C63A4" w:rsidRP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El contenido final se puede apreciar en un mural que hemos expuesto a la entrada del Aula de Apoyo a la Integración.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3. VALORACIÓN DEL COMPROMISO INDIVIDUAL:</w:t>
      </w:r>
    </w:p>
    <w:p w:rsidR="006C63A4" w:rsidRPr="006C63A4" w:rsidRDefault="006C63A4" w:rsidP="006C63A4">
      <w:pPr>
        <w:jc w:val="both"/>
        <w:rPr>
          <w:lang w:val="es-ES_tradnl"/>
        </w:rPr>
      </w:pPr>
    </w:p>
    <w:p w:rsidR="00D5614B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valoración </w:t>
      </w:r>
      <w:r w:rsidR="00D5614B">
        <w:rPr>
          <w:rFonts w:ascii="Tahoma" w:hAnsi="Tahoma" w:cs="Tahoma"/>
          <w:color w:val="333333"/>
          <w:sz w:val="22"/>
          <w:szCs w:val="22"/>
        </w:rPr>
        <w:t>es totalmente positiva puesto que se han conseguido los compromisos iniciales.</w:t>
      </w:r>
    </w:p>
    <w:p w:rsidR="006C63A4" w:rsidRPr="00D5614B" w:rsidRDefault="006C63A4" w:rsidP="006C63A4">
      <w:pPr>
        <w:jc w:val="both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4. OTRAS CONSIDERACIONES (DIFICULTADES ENCONTRADAS, PROPUESTAS DE MEJORA...)</w:t>
      </w:r>
    </w:p>
    <w:p w:rsidR="006C63A4" w:rsidRDefault="006C63A4" w:rsidP="006C63A4">
      <w:pPr>
        <w:ind w:left="-139" w:firstLine="560"/>
        <w:jc w:val="both"/>
        <w:rPr>
          <w:lang w:val="es-ES"/>
        </w:rPr>
      </w:pP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La principal propuesta de mejor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a sería la relativa al aumento de las </w:t>
      </w:r>
      <w:r>
        <w:rPr>
          <w:rFonts w:ascii="Tahoma" w:hAnsi="Tahoma" w:cs="Tahoma"/>
          <w:color w:val="333333"/>
          <w:sz w:val="22"/>
          <w:szCs w:val="22"/>
        </w:rPr>
        <w:t>sesiones presenciales de formación en el centro. Son demasiados conceptos, nuevos para todos/as, trabajados en un corto espacio de tiempo.</w:t>
      </w:r>
    </w:p>
    <w:p w:rsidR="002A67E2" w:rsidRPr="006C63A4" w:rsidRDefault="002A67E2">
      <w:pPr>
        <w:rPr>
          <w:lang w:val="es-ES"/>
        </w:rPr>
      </w:pPr>
    </w:p>
    <w:sectPr w:rsidR="002A67E2" w:rsidRPr="006C63A4" w:rsidSect="006C63A4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D5" w:rsidRDefault="00AE02D5">
      <w:pPr>
        <w:spacing w:line="240" w:lineRule="auto"/>
      </w:pPr>
      <w:r>
        <w:separator/>
      </w:r>
    </w:p>
  </w:endnote>
  <w:endnote w:type="continuationSeparator" w:id="0">
    <w:p w:rsidR="00AE02D5" w:rsidRDefault="00AE0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D5" w:rsidRDefault="00AE02D5">
      <w:pPr>
        <w:spacing w:line="240" w:lineRule="auto"/>
      </w:pPr>
      <w:r>
        <w:separator/>
      </w:r>
    </w:p>
  </w:footnote>
  <w:footnote w:type="continuationSeparator" w:id="0">
    <w:p w:rsidR="00AE02D5" w:rsidRDefault="00AE02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A4" w:rsidRPr="006C63A4" w:rsidRDefault="007A6372">
    <w:pPr>
      <w:pStyle w:val="Encabezado"/>
      <w:rPr>
        <w:rStyle w:val="Fuentedeprrafopredeter1"/>
        <w:lang w:val="es-ES" w:eastAsia="ar-SA" w:bidi="ar-SA"/>
      </w:rPr>
    </w:pPr>
    <w:r>
      <w:rPr>
        <w:noProof/>
        <w:lang w:val="es-ES" w:eastAsia="es-ES" w:bidi="ar-SA"/>
      </w:rPr>
      <w:drawing>
        <wp:inline distT="0" distB="0" distL="0" distR="0">
          <wp:extent cx="2181225" cy="304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63A4">
      <w:rPr>
        <w:rStyle w:val="Fuentedeprrafopredeter1"/>
        <w:lang w:val="es-ES" w:eastAsia="ar-SA" w:bidi="ar-SA"/>
      </w:rPr>
      <w:t xml:space="preserve">                                                                                       </w:t>
    </w:r>
    <w:r w:rsidR="006C63A4" w:rsidRPr="006C63A4">
      <w:rPr>
        <w:rStyle w:val="Fuentedeprrafopredeter1"/>
        <w:iCs/>
        <w:color w:val="007A3D"/>
        <w:sz w:val="20"/>
        <w:szCs w:val="20"/>
        <w:lang w:val="es-ES_tradnl"/>
      </w:rPr>
      <w:t>CONSEJERÍA DE EDUCACIÓN</w:t>
    </w:r>
  </w:p>
  <w:p w:rsidR="006C63A4" w:rsidRPr="006C63A4" w:rsidRDefault="006C63A4">
    <w:pPr>
      <w:pStyle w:val="Encabezado"/>
      <w:rPr>
        <w:lang w:val="es-ES_tradnl"/>
      </w:rPr>
    </w:pPr>
    <w:r>
      <w:rPr>
        <w:rStyle w:val="Fuentedeprrafopredeter1"/>
        <w:i/>
        <w:iCs/>
        <w:color w:val="007A3D"/>
        <w:sz w:val="20"/>
        <w:szCs w:val="20"/>
        <w:lang w:val="es-ES_tradnl"/>
      </w:rPr>
      <w:tab/>
    </w:r>
    <w:r>
      <w:rPr>
        <w:rStyle w:val="Fuentedeprrafopredeter1"/>
        <w:i/>
        <w:iCs/>
        <w:color w:val="007A3D"/>
        <w:sz w:val="20"/>
        <w:szCs w:val="20"/>
        <w:lang w:val="es-ES_tradnl"/>
      </w:rPr>
      <w:tab/>
      <w:t xml:space="preserve">                                                                             </w:t>
    </w:r>
    <w:r w:rsidRPr="006C63A4">
      <w:rPr>
        <w:rStyle w:val="Fuentedeprrafopredeter1"/>
        <w:i/>
        <w:iCs/>
        <w:color w:val="007A3D"/>
        <w:sz w:val="20"/>
        <w:szCs w:val="20"/>
        <w:lang w:val="es-ES_tradnl"/>
      </w:rPr>
      <w:t>Centro del Profesorado Linares - Andújar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0F3E"/>
    <w:multiLevelType w:val="hybridMultilevel"/>
    <w:tmpl w:val="C03E9836"/>
    <w:lvl w:ilvl="0" w:tplc="ED380C14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1" w:hanging="360"/>
      </w:pPr>
    </w:lvl>
    <w:lvl w:ilvl="2" w:tplc="0C0A001B" w:tentative="1">
      <w:start w:val="1"/>
      <w:numFmt w:val="lowerRoman"/>
      <w:lvlText w:val="%3."/>
      <w:lvlJc w:val="right"/>
      <w:pPr>
        <w:ind w:left="1661" w:hanging="180"/>
      </w:pPr>
    </w:lvl>
    <w:lvl w:ilvl="3" w:tplc="0C0A000F" w:tentative="1">
      <w:start w:val="1"/>
      <w:numFmt w:val="decimal"/>
      <w:lvlText w:val="%4."/>
      <w:lvlJc w:val="left"/>
      <w:pPr>
        <w:ind w:left="2381" w:hanging="360"/>
      </w:pPr>
    </w:lvl>
    <w:lvl w:ilvl="4" w:tplc="0C0A0019" w:tentative="1">
      <w:start w:val="1"/>
      <w:numFmt w:val="lowerLetter"/>
      <w:lvlText w:val="%5."/>
      <w:lvlJc w:val="left"/>
      <w:pPr>
        <w:ind w:left="3101" w:hanging="360"/>
      </w:pPr>
    </w:lvl>
    <w:lvl w:ilvl="5" w:tplc="0C0A001B" w:tentative="1">
      <w:start w:val="1"/>
      <w:numFmt w:val="lowerRoman"/>
      <w:lvlText w:val="%6."/>
      <w:lvlJc w:val="right"/>
      <w:pPr>
        <w:ind w:left="3821" w:hanging="180"/>
      </w:pPr>
    </w:lvl>
    <w:lvl w:ilvl="6" w:tplc="0C0A000F" w:tentative="1">
      <w:start w:val="1"/>
      <w:numFmt w:val="decimal"/>
      <w:lvlText w:val="%7."/>
      <w:lvlJc w:val="left"/>
      <w:pPr>
        <w:ind w:left="4541" w:hanging="360"/>
      </w:pPr>
    </w:lvl>
    <w:lvl w:ilvl="7" w:tplc="0C0A0019" w:tentative="1">
      <w:start w:val="1"/>
      <w:numFmt w:val="lowerLetter"/>
      <w:lvlText w:val="%8."/>
      <w:lvlJc w:val="left"/>
      <w:pPr>
        <w:ind w:left="5261" w:hanging="360"/>
      </w:pPr>
    </w:lvl>
    <w:lvl w:ilvl="8" w:tplc="0C0A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84"/>
    <w:rsid w:val="002378A1"/>
    <w:rsid w:val="002A67E2"/>
    <w:rsid w:val="003438C8"/>
    <w:rsid w:val="005A2C8B"/>
    <w:rsid w:val="006C63A4"/>
    <w:rsid w:val="007A6372"/>
    <w:rsid w:val="007E1307"/>
    <w:rsid w:val="00923F84"/>
    <w:rsid w:val="00AE02D5"/>
    <w:rsid w:val="00D5614B"/>
    <w:rsid w:val="00EE3A72"/>
    <w:rsid w:val="00F5183B"/>
    <w:rsid w:val="00F7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pc</cp:lastModifiedBy>
  <cp:revision>4</cp:revision>
  <cp:lastPrinted>2016-05-24T07:51:00Z</cp:lastPrinted>
  <dcterms:created xsi:type="dcterms:W3CDTF">2017-06-13T07:26:00Z</dcterms:created>
  <dcterms:modified xsi:type="dcterms:W3CDTF">2017-06-13T09:58:00Z</dcterms:modified>
</cp:coreProperties>
</file>