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517134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3.45pt;margin-top:4.6pt;width:234pt;height: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" fillcolor="#fcf" strokeweight="1pt">
            <v:textbox>
              <w:txbxContent>
                <w:p w:rsidR="009C5547" w:rsidRPr="003A6AE4" w:rsidRDefault="009C5547" w:rsidP="009C5547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DEL GRUPO</w:t>
                  </w:r>
                </w:p>
                <w:p w:rsidR="009C5547" w:rsidRPr="00B426DB" w:rsidRDefault="009C5547" w:rsidP="009C55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563E6A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016857" w:rsidRDefault="004A77C2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Creación de D</w:t>
            </w:r>
            <w:r w:rsidR="00A96710">
              <w:rPr>
                <w:rFonts w:ascii="Arial" w:hAnsi="Arial" w:cs="Arial"/>
                <w:b/>
                <w:color w:val="17365D"/>
              </w:rPr>
              <w:t>ocumentación para Equipos Directivos de Residencias Escolares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4A77C2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181410GT073</w:t>
            </w:r>
          </w:p>
        </w:tc>
      </w:tr>
      <w:tr w:rsidR="009C5547" w:rsidTr="00563E6A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77C2" w:rsidRPr="00016857" w:rsidRDefault="004A77C2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F58">
              <w:rPr>
                <w:rFonts w:ascii="Arial" w:hAnsi="Arial" w:cs="Arial"/>
                <w:b/>
                <w:color w:val="17365D"/>
              </w:rPr>
              <w:t>R.E. Miguel Álvarez de Sotomayor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4A77C2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F58">
              <w:rPr>
                <w:rFonts w:ascii="Arial" w:hAnsi="Arial" w:cs="Arial"/>
                <w:b/>
                <w:color w:val="17365D"/>
              </w:rPr>
              <w:t>Lucena</w:t>
            </w:r>
          </w:p>
        </w:tc>
      </w:tr>
      <w:tr w:rsidR="009C5547" w:rsidTr="00563E6A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4A77C2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F58">
              <w:rPr>
                <w:rFonts w:ascii="Arial" w:hAnsi="Arial" w:cs="Arial"/>
                <w:b/>
                <w:color w:val="17365D"/>
              </w:rPr>
              <w:t>Agustín Ariza Gómez</w:t>
            </w:r>
          </w:p>
        </w:tc>
      </w:tr>
      <w:tr w:rsidR="009C5547" w:rsidTr="00563E6A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C25F58" w:rsidRDefault="00A96710" w:rsidP="00563E6A">
            <w:pPr>
              <w:rPr>
                <w:rFonts w:ascii="Arial" w:hAnsi="Arial" w:cs="Arial"/>
                <w:b/>
                <w:color w:val="17365D"/>
              </w:rPr>
            </w:pPr>
            <w:r w:rsidRPr="00C25F58">
              <w:rPr>
                <w:rFonts w:ascii="Arial" w:hAnsi="Arial" w:cs="Arial"/>
                <w:b/>
                <w:color w:val="17365D"/>
              </w:rPr>
              <w:t>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C25F58" w:rsidRDefault="00A96710" w:rsidP="00563E6A">
            <w:pPr>
              <w:rPr>
                <w:rFonts w:ascii="Arial" w:hAnsi="Arial" w:cs="Arial"/>
                <w:b/>
                <w:color w:val="17365D"/>
              </w:rPr>
            </w:pPr>
            <w:r w:rsidRPr="00C25F58">
              <w:rPr>
                <w:rFonts w:ascii="Arial" w:hAnsi="Arial" w:cs="Arial"/>
                <w:b/>
                <w:color w:val="17365D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A96710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F58">
              <w:rPr>
                <w:rFonts w:ascii="Arial" w:hAnsi="Arial" w:cs="Arial"/>
                <w:b/>
                <w:color w:val="17365D"/>
              </w:rPr>
              <w:t>0</w:t>
            </w:r>
          </w:p>
        </w:tc>
      </w:tr>
      <w:tr w:rsidR="009C5547" w:rsidTr="00563E6A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C25F58" w:rsidRDefault="004A77C2" w:rsidP="00563E6A">
            <w:pPr>
              <w:rPr>
                <w:rFonts w:ascii="Arial" w:hAnsi="Arial" w:cs="Arial"/>
                <w:b/>
                <w:color w:val="17365D"/>
              </w:rPr>
            </w:pPr>
            <w:r w:rsidRPr="00C25F58">
              <w:rPr>
                <w:rFonts w:ascii="Arial" w:hAnsi="Arial" w:cs="Arial"/>
                <w:b/>
                <w:bCs/>
                <w:color w:val="17365D"/>
              </w:rPr>
              <w:t>Pablo Calvo Calvo</w:t>
            </w: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517134" w:rsidP="009C5547">
      <w:pPr>
        <w:jc w:val="center"/>
      </w:pPr>
      <w:r w:rsidRPr="00517134">
        <w:rPr>
          <w:rFonts w:ascii="Arial" w:hAnsi="Arial" w:cs="Arial"/>
          <w:b/>
          <w:noProof/>
          <w:sz w:val="72"/>
          <w:lang w:val="es-ES"/>
        </w:rPr>
        <w:pict>
          <v:shape id="Cuadro de texto 1" o:spid="_x0000_s1027" type="#_x0000_t202" style="position:absolute;left:0;text-align:left;margin-left:6.1pt;margin-top:14.15pt;width:453.05pt;height:2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" fillcolor="#fcf" strokeweight="1pt">
            <v:textbox inset=",1.5mm,,1.5mm">
              <w:txbxContent>
                <w:p w:rsidR="009C5547" w:rsidRPr="00072249" w:rsidRDefault="009C5547" w:rsidP="009C554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72249">
                    <w:rPr>
                      <w:rFonts w:ascii="Arial" w:hAnsi="Arial" w:cs="Arial"/>
                      <w:b/>
                      <w:bCs/>
                      <w:sz w:val="32"/>
                    </w:rPr>
                    <w:t>MEMORIA DE GRUPO DE TRABAJO</w:t>
                  </w:r>
                </w:p>
              </w:txbxContent>
            </v:textbox>
            <w10:wrap type="square"/>
          </v:shape>
        </w:pict>
      </w:r>
    </w:p>
    <w:p w:rsidR="009C5547" w:rsidRPr="00CA5257" w:rsidRDefault="009C5547" w:rsidP="009C5547">
      <w:pPr>
        <w:jc w:val="center"/>
      </w:pPr>
    </w:p>
    <w:p w:rsidR="009C5547" w:rsidRPr="00E22CAD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C25F58" w:rsidRDefault="009300D2" w:rsidP="00C25F58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3A4240" w:rsidRPr="00DC28C0" w:rsidRDefault="003A4240" w:rsidP="00DC28C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C25F58">
        <w:rPr>
          <w:rFonts w:ascii="Arial" w:hAnsi="Arial" w:cs="Arial"/>
          <w:color w:val="333333"/>
          <w:sz w:val="22"/>
          <w:szCs w:val="22"/>
          <w:lang w:val="es-ES"/>
        </w:rPr>
        <w:t>En primer lugar se puede recordar cuales eran los objetivos concretos de este grupo de trabajo sin olvidarnos</w:t>
      </w:r>
      <w:r w:rsidR="0087784E">
        <w:rPr>
          <w:rFonts w:ascii="Arial" w:hAnsi="Arial" w:cs="Arial"/>
          <w:color w:val="333333"/>
          <w:sz w:val="22"/>
          <w:szCs w:val="22"/>
          <w:lang w:val="es-ES"/>
        </w:rPr>
        <w:t xml:space="preserve"> del objetivo general que no podía ser otro que la mejora organizativa de las Residencias Escolares de la Provincia de Córdoba.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 xml:space="preserve"> Dichos objetivos son:</w:t>
      </w:r>
    </w:p>
    <w:p w:rsidR="003A4240" w:rsidRPr="00A96710" w:rsidRDefault="003A4240" w:rsidP="003A4240">
      <w:pPr>
        <w:ind w:left="30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3A4240" w:rsidRPr="003A4240" w:rsidRDefault="003A4240" w:rsidP="003A4240">
      <w:pPr>
        <w:pStyle w:val="Prrafodelista"/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t>Puesta en común de buenas prácticas para la aplicación en el resto de las residencias escolares de la provincia.</w:t>
      </w:r>
    </w:p>
    <w:p w:rsidR="003A4240" w:rsidRPr="003A4240" w:rsidRDefault="003A4240" w:rsidP="003A4240">
      <w:pPr>
        <w:pStyle w:val="Prrafodelista"/>
        <w:numPr>
          <w:ilvl w:val="0"/>
          <w:numId w:val="6"/>
        </w:numPr>
        <w:spacing w:beforeAutospacing="1" w:afterAutospacing="1" w:line="240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t xml:space="preserve">Redacción de materiales comunes para utilizarlos todos e unificar criterios en los distintos centro </w:t>
      </w:r>
    </w:p>
    <w:p w:rsidR="003A4240" w:rsidRPr="00A96710" w:rsidRDefault="003A4240" w:rsidP="003A4240">
      <w:pPr>
        <w:pStyle w:val="Prrafodelista"/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t>Preparación de encuentros deportivos, jornadas regionales y otros eventos como el salón del estudiante de Lucena, así como otros que a lo largo del curso puedan ir surgiendo.</w:t>
      </w:r>
    </w:p>
    <w:p w:rsidR="00A96710" w:rsidRDefault="00A96710" w:rsidP="00A9671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9300D2" w:rsidRPr="00C25F58" w:rsidRDefault="00871646" w:rsidP="00C25F5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tab/>
      </w:r>
      <w:r w:rsidR="00A96710">
        <w:rPr>
          <w:rFonts w:ascii="Arial" w:hAnsi="Arial" w:cs="Arial"/>
          <w:color w:val="333333"/>
          <w:sz w:val="22"/>
          <w:szCs w:val="22"/>
          <w:lang w:val="es-ES"/>
        </w:rPr>
        <w:t xml:space="preserve">Valorando en general el grado de consecución de objetivos, se puede calificar de bueno. Aunque si bien es verdad hay objetivos como el tercero, referido a preparación de eventos en el que la satisfacción es generalizada y los objetivos conseguidos también. </w:t>
      </w:r>
      <w:r w:rsidR="0087784E">
        <w:rPr>
          <w:rFonts w:ascii="Arial" w:hAnsi="Arial" w:cs="Arial"/>
          <w:color w:val="333333"/>
          <w:sz w:val="22"/>
          <w:szCs w:val="22"/>
          <w:lang w:val="es-ES"/>
        </w:rPr>
        <w:t>En el caso del primero los objetivos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 xml:space="preserve"> también ha sido buena la consecución, ya que de forma implícita se han desarrollado las reuniones en distintas Residencias y por supuesto se han explicado y visitado. El segundo de los objetivos es el que ha tenido un peor grado de consecución. La elaboración de materiales ha sido escueta y esto puede ser debido a la prioridad que se la ha dado en cada una de las reuniones a los eventos a organizar.</w:t>
      </w:r>
    </w:p>
    <w:p w:rsidR="00526E80" w:rsidRPr="00C25F58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  <w:lang w:val="es-ES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9300D2" w:rsidRPr="00A96710" w:rsidRDefault="006D1A04" w:rsidP="00A9671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t xml:space="preserve">El grado de interacción ha sido bueno. Se ha creado un grupo de </w:t>
      </w:r>
      <w:r w:rsidRPr="004121BA">
        <w:rPr>
          <w:rFonts w:ascii="Arial" w:hAnsi="Arial" w:cs="Arial"/>
          <w:i/>
          <w:color w:val="333333"/>
          <w:sz w:val="22"/>
          <w:szCs w:val="22"/>
          <w:lang w:val="es-ES"/>
        </w:rPr>
        <w:t>Whatsapp</w:t>
      </w:r>
      <w:r w:rsidRPr="00A96710">
        <w:rPr>
          <w:rFonts w:ascii="Arial" w:hAnsi="Arial" w:cs="Arial"/>
          <w:color w:val="333333"/>
          <w:sz w:val="22"/>
          <w:szCs w:val="22"/>
          <w:lang w:val="es-ES"/>
        </w:rPr>
        <w:t xml:space="preserve"> mediante el cual dicha interacción y comunicación ha sido muy fluida.</w:t>
      </w:r>
      <w:r w:rsidR="00A96710" w:rsidRPr="00A96710">
        <w:rPr>
          <w:rFonts w:ascii="Arial" w:hAnsi="Arial" w:cs="Arial"/>
          <w:color w:val="333333"/>
          <w:sz w:val="22"/>
          <w:szCs w:val="22"/>
          <w:lang w:val="es-ES"/>
        </w:rPr>
        <w:t xml:space="preserve"> Igualmente 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>la comunicación telefónica se ha mantenido como se ha hecho en años anteriores, e incluso se podría decir que se ha intensificado.</w:t>
      </w:r>
    </w:p>
    <w:p w:rsidR="006D1A04" w:rsidRPr="003A4240" w:rsidRDefault="006D1A04" w:rsidP="00A96710">
      <w:pPr>
        <w:jc w:val="both"/>
        <w:textAlignment w:val="baseline"/>
        <w:rPr>
          <w:rFonts w:ascii="Arial" w:hAnsi="Arial" w:cs="Arial"/>
          <w:sz w:val="24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lastRenderedPageBreak/>
        <w:t xml:space="preserve">Por otro lado </w:t>
      </w:r>
      <w:r w:rsidR="00887EC8">
        <w:rPr>
          <w:rFonts w:ascii="Arial" w:hAnsi="Arial" w:cs="Arial"/>
          <w:color w:val="333333"/>
          <w:sz w:val="22"/>
          <w:szCs w:val="22"/>
          <w:lang w:val="es-ES"/>
        </w:rPr>
        <w:t>las reuniones han sido prov</w:t>
      </w:r>
      <w:r w:rsidR="00887EC8" w:rsidRPr="00A96710">
        <w:rPr>
          <w:rFonts w:ascii="Arial" w:hAnsi="Arial" w:cs="Arial"/>
          <w:color w:val="333333"/>
          <w:sz w:val="22"/>
          <w:szCs w:val="22"/>
          <w:lang w:val="es-ES"/>
        </w:rPr>
        <w:t>echosas</w:t>
      </w:r>
      <w:r w:rsidRPr="00A96710">
        <w:rPr>
          <w:rFonts w:ascii="Arial" w:hAnsi="Arial" w:cs="Arial"/>
          <w:color w:val="333333"/>
          <w:sz w:val="22"/>
          <w:szCs w:val="22"/>
          <w:lang w:val="es-ES"/>
        </w:rPr>
        <w:t xml:space="preserve"> tanto en el intercambio de información de la gestión y organización de las distintas residencias escolares como en la organización de los eventos que poco después de dichas reuniones iban a acontecerse.</w:t>
      </w:r>
      <w:r w:rsidR="00887EC8">
        <w:rPr>
          <w:rFonts w:ascii="Arial" w:hAnsi="Arial" w:cs="Arial"/>
          <w:color w:val="333333"/>
          <w:sz w:val="22"/>
          <w:szCs w:val="22"/>
          <w:lang w:val="es-ES"/>
        </w:rPr>
        <w:t xml:space="preserve"> Todo rodeado de un muy buen ambiente de trabajo.</w:t>
      </w:r>
    </w:p>
    <w:p w:rsidR="004121BA" w:rsidRDefault="004121BA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4121BA" w:rsidRDefault="004121BA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4121BA" w:rsidRPr="009300D2" w:rsidRDefault="004121BA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aplicación en su contexto educativo.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A96710" w:rsidRDefault="00887EC8" w:rsidP="00DC28C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tab/>
      </w:r>
      <w:r w:rsidR="003A4240" w:rsidRPr="00A96710">
        <w:rPr>
          <w:rFonts w:ascii="Arial" w:hAnsi="Arial" w:cs="Arial"/>
          <w:color w:val="333333"/>
          <w:sz w:val="22"/>
          <w:szCs w:val="22"/>
          <w:lang w:val="es-ES"/>
        </w:rPr>
        <w:t>En el contexto de las residencias las aplicaciones han sido aplicadas en buena manera ya que cada uno de los participantes ha podido reflexionar sobre la aplicación o no de ideas que en otras residencias se están implementando.</w:t>
      </w:r>
      <w:r>
        <w:rPr>
          <w:rFonts w:ascii="Arial" w:hAnsi="Arial" w:cs="Arial"/>
          <w:color w:val="333333"/>
          <w:sz w:val="22"/>
          <w:szCs w:val="22"/>
          <w:lang w:val="es-ES"/>
        </w:rPr>
        <w:t xml:space="preserve"> Igualmente de eventos como EDRECO o el Salón del Estudiante, o incluso el futuro EDREA parte de las Comunidades Educativas de las Residencias Escolares de la Provincia de Córdoba han sido partícipes y se han beneficiado del trabajo que en el seno del Grupo de Trabajo se ha hecho.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887EC8" w:rsidRDefault="000838AF" w:rsidP="00DC28C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tab/>
      </w:r>
    </w:p>
    <w:p w:rsidR="005D4C25" w:rsidRPr="00A96710" w:rsidRDefault="000838AF" w:rsidP="00DC28C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A96710">
        <w:rPr>
          <w:rFonts w:ascii="Arial" w:hAnsi="Arial" w:cs="Arial"/>
          <w:color w:val="333333"/>
          <w:sz w:val="22"/>
          <w:szCs w:val="22"/>
          <w:lang w:val="es-ES"/>
        </w:rPr>
        <w:t>Los efectos, son una mayor coordinación entre Residencias Escolares, que redunda en una mejor organización de la misma. Las reuniones han sido to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>das muy positivas, con un buen ambiente y con productividad a la hora de reparto de tareas e información sobre los eventos.</w:t>
      </w:r>
      <w:r w:rsidR="00887EC8">
        <w:rPr>
          <w:rFonts w:ascii="Arial" w:hAnsi="Arial" w:cs="Arial"/>
          <w:color w:val="333333"/>
          <w:sz w:val="22"/>
          <w:szCs w:val="22"/>
          <w:lang w:val="es-ES"/>
        </w:rPr>
        <w:t xml:space="preserve"> Efectos para los Residentes participantes también ha sido el gran grado de satisfacción que estos mostraron al participar en los eventos anteriormente referidos.</w:t>
      </w: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Productos, evidencias de aprendizaje que se han adquirido.</w:t>
      </w:r>
    </w:p>
    <w:p w:rsidR="005D4C25" w:rsidRDefault="00DC28C0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>Los productos más evidentes ha sido la colaboración para que eventos organizados por alguna de las Residencias o de manera común hayan salido mucho mejor, con reuniones sobre el terreno. Los eventos que han sido organizados con la ayuda del grupo de trabajo son:</w:t>
      </w:r>
    </w:p>
    <w:p w:rsidR="00887EC8" w:rsidRPr="007547A8" w:rsidRDefault="00887EC8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DC28C0" w:rsidRPr="007547A8" w:rsidRDefault="00DC28C0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>- Salón del Estudiante de Lucena 2018</w:t>
      </w:r>
    </w:p>
    <w:p w:rsidR="00DC28C0" w:rsidRPr="007547A8" w:rsidRDefault="00DC28C0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 xml:space="preserve">- I EDRECO (juegos inter-residencias de la </w:t>
      </w:r>
      <w:r w:rsidR="007547A8" w:rsidRPr="007547A8">
        <w:rPr>
          <w:rFonts w:ascii="Arial" w:hAnsi="Arial" w:cs="Arial"/>
          <w:color w:val="333333"/>
          <w:sz w:val="22"/>
          <w:szCs w:val="22"/>
          <w:lang w:val="es-ES"/>
        </w:rPr>
        <w:t>provincia de Có</w:t>
      </w:r>
      <w:r w:rsidRPr="007547A8">
        <w:rPr>
          <w:rFonts w:ascii="Arial" w:hAnsi="Arial" w:cs="Arial"/>
          <w:color w:val="333333"/>
          <w:sz w:val="22"/>
          <w:szCs w:val="22"/>
          <w:lang w:val="es-ES"/>
        </w:rPr>
        <w:t>rdoba celebrado en Baena)</w:t>
      </w:r>
    </w:p>
    <w:p w:rsidR="00DC28C0" w:rsidRPr="007547A8" w:rsidRDefault="00DC28C0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>- EDREA (juegos inter-residencias regionales a celebrarse en San Ferna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>n</w:t>
      </w:r>
      <w:r w:rsidRPr="007547A8">
        <w:rPr>
          <w:rFonts w:ascii="Arial" w:hAnsi="Arial" w:cs="Arial"/>
          <w:color w:val="333333"/>
          <w:sz w:val="22"/>
          <w:szCs w:val="22"/>
          <w:lang w:val="es-ES"/>
        </w:rPr>
        <w:t>do)</w:t>
      </w:r>
    </w:p>
    <w:p w:rsidR="00DC28C0" w:rsidRPr="007547A8" w:rsidRDefault="00DC28C0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>- II Jornadas de Residencias Escolares que se celebrará en Priego de Córdoba.</w:t>
      </w:r>
    </w:p>
    <w:p w:rsidR="007547A8" w:rsidRPr="007547A8" w:rsidRDefault="007547A8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 xml:space="preserve"> </w:t>
      </w:r>
    </w:p>
    <w:p w:rsidR="007547A8" w:rsidRPr="007547A8" w:rsidRDefault="007547A8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 xml:space="preserve">Por otro lado ha servido para que los Directores de las distintas Residencias visiten otras y conozcan de primera mano su organización y la forma de hacer las cosas, para poder de este modo importarlas a las propias Residencias. </w:t>
      </w:r>
    </w:p>
    <w:p w:rsidR="007547A8" w:rsidRPr="007547A8" w:rsidRDefault="007547A8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>El apartado de preparación de Materiales que a priori iba a ser un punto importante en este grupo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>, se ha quedado un poco más escueto, pero quizá hay que verlo que las reuniones que en todo caso han sido muy productivas han estado orientadas hacia otros objetivo.</w:t>
      </w:r>
    </w:p>
    <w:p w:rsidR="005D4C25" w:rsidRDefault="005D4C25" w:rsidP="00DC28C0">
      <w:pPr>
        <w:jc w:val="both"/>
        <w:textAlignment w:val="baseline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que hayan resultado interesantes.</w:t>
      </w:r>
    </w:p>
    <w:p w:rsidR="005D4C25" w:rsidRDefault="007547A8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 w:rsidRPr="007547A8">
        <w:rPr>
          <w:rFonts w:ascii="Arial" w:hAnsi="Arial" w:cs="Arial"/>
          <w:color w:val="333333"/>
          <w:sz w:val="22"/>
          <w:szCs w:val="22"/>
          <w:lang w:val="es-ES"/>
        </w:rPr>
        <w:t xml:space="preserve">El mejorar la comunicación entre las distintas Residencias de la Provincia de Córdoba ha sido muy interesante ya que a la hora de solucionar problemas, o afrontar situaciones que ni legislación ni administración educativa pueden dar 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 xml:space="preserve">una respuesta rápida y sencilla, se han convertido en gran ayuda. </w:t>
      </w:r>
    </w:p>
    <w:p w:rsidR="004121BA" w:rsidRPr="007547A8" w:rsidRDefault="004121BA" w:rsidP="007547A8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lastRenderedPageBreak/>
        <w:t>Otro aspecto que ha sido interesante es el que hayan sido en distintas residencias las reuniones y así poder ver otras formas de organización.</w:t>
      </w:r>
    </w:p>
    <w:p w:rsidR="005D4C25" w:rsidRDefault="005D4C25" w:rsidP="00DC28C0">
      <w:pPr>
        <w:jc w:val="both"/>
        <w:textAlignment w:val="baseline"/>
        <w:rPr>
          <w:rFonts w:ascii="Arial" w:hAnsi="Arial" w:cs="Arial"/>
          <w:b/>
          <w:sz w:val="24"/>
        </w:rPr>
      </w:pPr>
    </w:p>
    <w:p w:rsidR="00757E85" w:rsidRPr="005D4C25" w:rsidRDefault="00757E8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D4C25" w:rsidRP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susceptibles de mejora.</w:t>
      </w:r>
    </w:p>
    <w:p w:rsidR="005D4C25" w:rsidRPr="00DC28C0" w:rsidRDefault="00887EC8" w:rsidP="00DC28C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tab/>
      </w:r>
      <w:r w:rsidR="007547A8">
        <w:rPr>
          <w:rFonts w:ascii="Arial" w:hAnsi="Arial" w:cs="Arial"/>
          <w:color w:val="333333"/>
          <w:sz w:val="22"/>
          <w:szCs w:val="22"/>
          <w:lang w:val="es-ES"/>
        </w:rPr>
        <w:t xml:space="preserve">Como coordinador destacaría la dificultad que hemos tenido para celebrar las reuniones. El desplazamiento y tiempo invertido </w:t>
      </w:r>
      <w:r>
        <w:rPr>
          <w:rFonts w:ascii="Arial" w:hAnsi="Arial" w:cs="Arial"/>
          <w:color w:val="333333"/>
          <w:sz w:val="22"/>
          <w:szCs w:val="22"/>
          <w:lang w:val="es-ES"/>
        </w:rPr>
        <w:t>ha sido complicado de gestionar, por la complejidad de los distintos horarios y la distancia entre las distintas poblaciones tan lejanas como Cardeña, Baena o Priego de Córdoba.</w:t>
      </w:r>
      <w:r w:rsidR="007547A8">
        <w:rPr>
          <w:rFonts w:ascii="Arial" w:hAnsi="Arial" w:cs="Arial"/>
          <w:color w:val="333333"/>
          <w:sz w:val="22"/>
          <w:szCs w:val="22"/>
          <w:lang w:val="es-ES"/>
        </w:rPr>
        <w:t xml:space="preserve"> Por otro lado para </w:t>
      </w:r>
      <w:r>
        <w:rPr>
          <w:rFonts w:ascii="Arial" w:hAnsi="Arial" w:cs="Arial"/>
          <w:color w:val="333333"/>
          <w:sz w:val="22"/>
          <w:szCs w:val="22"/>
          <w:lang w:val="es-ES"/>
        </w:rPr>
        <w:t>futuros grupos y</w:t>
      </w:r>
      <w:r w:rsidR="004121BA">
        <w:rPr>
          <w:rFonts w:ascii="Arial" w:hAnsi="Arial" w:cs="Arial"/>
          <w:color w:val="333333"/>
          <w:sz w:val="22"/>
          <w:szCs w:val="22"/>
          <w:lang w:val="es-ES"/>
        </w:rPr>
        <w:t xml:space="preserve"> como idea de mejora, para que el tema de los materiales hubiera sido más productivo, desde la coordinación del grupo debía haberse lanzado propuesta de materiales y temas por adelantado, si bien se hizo pero siempre orientado a la organización de los eventos anteriormente descritos.</w:t>
      </w:r>
    </w:p>
    <w:p w:rsidR="00DC28C0" w:rsidRDefault="00FA49B8" w:rsidP="00DC28C0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tab/>
      </w:r>
    </w:p>
    <w:p w:rsidR="009300D2" w:rsidRPr="00A96710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</w:p>
    <w:sectPr w:rsidR="009300D2" w:rsidRPr="00A96710" w:rsidSect="009525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76" w:rsidRDefault="003C0476" w:rsidP="009C5547">
      <w:r>
        <w:separator/>
      </w:r>
    </w:p>
  </w:endnote>
  <w:endnote w:type="continuationSeparator" w:id="1">
    <w:p w:rsidR="003C0476" w:rsidRDefault="003C0476" w:rsidP="009C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76" w:rsidRDefault="003C0476" w:rsidP="009C5547">
      <w:r>
        <w:separator/>
      </w:r>
    </w:p>
  </w:footnote>
  <w:footnote w:type="continuationSeparator" w:id="1">
    <w:p w:rsidR="003C0476" w:rsidRDefault="003C0476" w:rsidP="009C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7" w:rsidRDefault="009C5547" w:rsidP="009C554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3" name="Imagen 3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547" w:rsidRPr="009C5547" w:rsidRDefault="009C5547" w:rsidP="009C55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CC0"/>
    <w:multiLevelType w:val="multilevel"/>
    <w:tmpl w:val="66F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3801"/>
    <w:multiLevelType w:val="hybridMultilevel"/>
    <w:tmpl w:val="6CA45430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C5547"/>
    <w:rsid w:val="000838AF"/>
    <w:rsid w:val="0022769A"/>
    <w:rsid w:val="003779AA"/>
    <w:rsid w:val="003A4240"/>
    <w:rsid w:val="003C0476"/>
    <w:rsid w:val="004121BA"/>
    <w:rsid w:val="004323BA"/>
    <w:rsid w:val="004A77C2"/>
    <w:rsid w:val="00517134"/>
    <w:rsid w:val="00526E80"/>
    <w:rsid w:val="005D2AFF"/>
    <w:rsid w:val="005D4C25"/>
    <w:rsid w:val="006D1A04"/>
    <w:rsid w:val="007547A8"/>
    <w:rsid w:val="00757E85"/>
    <w:rsid w:val="00856D81"/>
    <w:rsid w:val="00871646"/>
    <w:rsid w:val="0087784E"/>
    <w:rsid w:val="00887EC8"/>
    <w:rsid w:val="009300D2"/>
    <w:rsid w:val="00952594"/>
    <w:rsid w:val="009B790A"/>
    <w:rsid w:val="009C5547"/>
    <w:rsid w:val="00A67B36"/>
    <w:rsid w:val="00A96710"/>
    <w:rsid w:val="00B22F8D"/>
    <w:rsid w:val="00BB2CF2"/>
    <w:rsid w:val="00C25F58"/>
    <w:rsid w:val="00C82328"/>
    <w:rsid w:val="00DC28C0"/>
    <w:rsid w:val="00DE7DD7"/>
    <w:rsid w:val="00F318A7"/>
    <w:rsid w:val="00F352AB"/>
    <w:rsid w:val="00FA49B8"/>
    <w:rsid w:val="00FA5146"/>
    <w:rsid w:val="00FE6F25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D1A04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6D1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3467-49A5-403B-89B5-881CF49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dcterms:created xsi:type="dcterms:W3CDTF">2018-05-10T07:51:00Z</dcterms:created>
  <dcterms:modified xsi:type="dcterms:W3CDTF">2018-05-30T11:03:00Z</dcterms:modified>
</cp:coreProperties>
</file>