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BE" w:rsidRDefault="004647B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4EC3" w:rsidRPr="00D178A0" w:rsidRDefault="00D178A0" w:rsidP="00D178A0">
      <w:pPr>
        <w:spacing w:after="113"/>
        <w:jc w:val="center"/>
        <w:rPr>
          <w:rFonts w:asciiTheme="majorHAnsi" w:eastAsia="Liberation Sans" w:hAnsiTheme="majorHAnsi" w:cstheme="majorHAnsi"/>
          <w:b/>
          <w:color w:val="0070C0"/>
          <w:sz w:val="22"/>
          <w:szCs w:val="22"/>
          <w:u w:val="single"/>
        </w:rPr>
      </w:pPr>
      <w:bookmarkStart w:id="0" w:name="_gjdgxs" w:colFirst="0" w:colLast="0"/>
      <w:bookmarkEnd w:id="0"/>
      <w:r w:rsidRPr="00D178A0">
        <w:rPr>
          <w:rFonts w:asciiTheme="majorHAnsi" w:eastAsia="Liberation Sans" w:hAnsiTheme="majorHAnsi" w:cstheme="majorHAnsi"/>
          <w:b/>
          <w:color w:val="0070C0"/>
          <w:sz w:val="22"/>
          <w:szCs w:val="22"/>
          <w:u w:val="single"/>
        </w:rPr>
        <w:t>MEMORIA DEL PROYECTO DE FORMACIÓN EN GRUPOS DE TRABAJO</w:t>
      </w:r>
    </w:p>
    <w:p w:rsidR="00D178A0" w:rsidRPr="00D178A0" w:rsidRDefault="00D178A0" w:rsidP="00D178A0">
      <w:pPr>
        <w:pBdr>
          <w:top w:val="nil"/>
          <w:left w:val="nil"/>
          <w:bottom w:val="nil"/>
          <w:right w:val="nil"/>
          <w:between w:val="nil"/>
        </w:pBdr>
        <w:spacing w:before="197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178A0">
        <w:rPr>
          <w:rFonts w:asciiTheme="majorHAnsi" w:eastAsia="Arial" w:hAnsiTheme="majorHAnsi" w:cstheme="majorHAnsi"/>
          <w:b/>
          <w:color w:val="000000"/>
          <w:sz w:val="22"/>
          <w:szCs w:val="22"/>
        </w:rPr>
        <w:t>CENTRO DEL PROFESORADO DE GUADIX</w:t>
      </w:r>
    </w:p>
    <w:p w:rsidR="00D178A0" w:rsidRPr="00D178A0" w:rsidRDefault="00D178A0" w:rsidP="00D178A0">
      <w:pPr>
        <w:pBdr>
          <w:top w:val="nil"/>
          <w:left w:val="nil"/>
          <w:bottom w:val="nil"/>
          <w:right w:val="nil"/>
          <w:between w:val="nil"/>
        </w:pBdr>
        <w:spacing w:before="55"/>
        <w:jc w:val="center"/>
        <w:rPr>
          <w:rFonts w:asciiTheme="majorHAnsi" w:eastAsia="Libre Franklin Medium" w:hAnsiTheme="majorHAnsi" w:cstheme="majorHAnsi"/>
          <w:color w:val="FF0000"/>
          <w:sz w:val="22"/>
          <w:szCs w:val="22"/>
        </w:rPr>
      </w:pPr>
      <w:r w:rsidRPr="00D178A0">
        <w:rPr>
          <w:rFonts w:asciiTheme="majorHAnsi" w:eastAsia="Arial" w:hAnsiTheme="majorHAnsi" w:cstheme="majorHAnsi"/>
          <w:b/>
          <w:color w:val="FF0000"/>
          <w:sz w:val="22"/>
          <w:szCs w:val="22"/>
        </w:rPr>
        <w:t>CURSO 2019-2020</w:t>
      </w:r>
    </w:p>
    <w:p w:rsidR="00D178A0" w:rsidRPr="00D178A0" w:rsidRDefault="00D178A0" w:rsidP="00D178A0">
      <w:pP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  <w:highlight w:val="lightGray"/>
        </w:rPr>
      </w:pPr>
      <w:r w:rsidRPr="00D178A0">
        <w:rPr>
          <w:rFonts w:asciiTheme="majorHAnsi" w:eastAsia="Arial" w:hAnsiTheme="majorHAnsi" w:cstheme="majorHAnsi"/>
          <w:b/>
          <w:color w:val="000000"/>
          <w:sz w:val="22"/>
          <w:szCs w:val="22"/>
        </w:rPr>
        <w:t>PROYECTO DE FORMACIÓN EN CENTRO: GRUPO DE TRABAJO</w:t>
      </w:r>
    </w:p>
    <w:p w:rsidR="00D178A0" w:rsidRPr="00D178A0" w:rsidRDefault="00D178A0" w:rsidP="00D178A0">
      <w:pPr>
        <w:spacing w:after="113"/>
        <w:jc w:val="center"/>
        <w:rPr>
          <w:rFonts w:asciiTheme="majorHAnsi" w:eastAsia="Liberation Sans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4EC3" w:rsidRPr="00D178A0" w:rsidTr="00D178A0">
        <w:tc>
          <w:tcPr>
            <w:tcW w:w="9061" w:type="dxa"/>
            <w:shd w:val="clear" w:color="auto" w:fill="FDE9D9" w:themeFill="accent6" w:themeFillTint="33"/>
          </w:tcPr>
          <w:p w:rsidR="006A4EC3" w:rsidRPr="00D178A0" w:rsidRDefault="00D178A0">
            <w:pPr>
              <w:spacing w:after="113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178A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TÍTULO</w:t>
            </w:r>
            <w:r w:rsidR="001D0DD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 xml:space="preserve"> DE LA FORMACIÓN DEL GRUPO DE TRABAJO</w:t>
            </w:r>
          </w:p>
        </w:tc>
      </w:tr>
      <w:tr w:rsidR="00D178A0" w:rsidRPr="00D178A0" w:rsidTr="00D178A0">
        <w:tc>
          <w:tcPr>
            <w:tcW w:w="9061" w:type="dxa"/>
            <w:shd w:val="clear" w:color="auto" w:fill="auto"/>
          </w:tcPr>
          <w:p w:rsidR="00D178A0" w:rsidRPr="00F4608D" w:rsidRDefault="00D178A0">
            <w:pPr>
              <w:spacing w:after="113"/>
              <w:jc w:val="both"/>
              <w:rPr>
                <w:rFonts w:ascii="Calibri" w:eastAsia="Liberation Sans" w:hAnsi="Calibri" w:cs="Calibri"/>
                <w:sz w:val="22"/>
                <w:szCs w:val="22"/>
              </w:rPr>
            </w:pPr>
            <w:r w:rsidRPr="00F4608D">
              <w:rPr>
                <w:rFonts w:ascii="Calibri" w:eastAsia="Liberation Sans" w:hAnsi="Calibri" w:cs="Calibri"/>
                <w:sz w:val="22"/>
                <w:szCs w:val="22"/>
              </w:rPr>
              <w:t>EVALUACIÓN EN SECUNDARIA: INSTRUMENTOS Y ESTRATEGIAS</w:t>
            </w: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D178A0" w:rsidRDefault="00D178A0" w:rsidP="006A4EC3">
            <w:pPr>
              <w:spacing w:after="57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178A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CENTRO EDUCATIVO</w:t>
            </w:r>
          </w:p>
        </w:tc>
      </w:tr>
      <w:tr w:rsidR="006A4EC3" w:rsidRPr="00D178A0" w:rsidTr="006A4EC3">
        <w:tc>
          <w:tcPr>
            <w:tcW w:w="9061" w:type="dxa"/>
          </w:tcPr>
          <w:p w:rsidR="00502859" w:rsidRPr="00D178A0" w:rsidRDefault="00D178A0" w:rsidP="001D425C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  <w:r>
              <w:rPr>
                <w:rFonts w:asciiTheme="majorHAnsi" w:eastAsia="Liberation Sans" w:hAnsiTheme="majorHAnsi" w:cstheme="majorHAnsi"/>
                <w:sz w:val="22"/>
                <w:szCs w:val="22"/>
              </w:rPr>
              <w:t>CDP DIVINA INFANTITA - GUADIX</w:t>
            </w: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D178A0" w:rsidRDefault="00D178A0" w:rsidP="006A4EC3">
            <w:pPr>
              <w:spacing w:after="57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178A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DURACIÓN</w:t>
            </w:r>
            <w:r w:rsidR="001D0DD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 xml:space="preserve"> DE LA FORMACIÓN</w:t>
            </w:r>
          </w:p>
        </w:tc>
      </w:tr>
      <w:tr w:rsidR="006A4EC3" w:rsidRPr="00D178A0" w:rsidTr="006A4EC3">
        <w:tc>
          <w:tcPr>
            <w:tcW w:w="9061" w:type="dxa"/>
          </w:tcPr>
          <w:p w:rsidR="006A4EC3" w:rsidRPr="00D178A0" w:rsidRDefault="00D178A0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  <w:r>
              <w:rPr>
                <w:rFonts w:asciiTheme="majorHAnsi" w:eastAsia="Liberation Sans" w:hAnsiTheme="majorHAnsi" w:cstheme="majorHAnsi"/>
                <w:sz w:val="22"/>
                <w:szCs w:val="22"/>
              </w:rPr>
              <w:t>EJERCICIO ACADÉMICO 2019-2020</w:t>
            </w: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D178A0" w:rsidRDefault="00D178A0">
            <w:pPr>
              <w:spacing w:after="113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178A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NÚMERO DE SESIONES</w:t>
            </w:r>
          </w:p>
        </w:tc>
      </w:tr>
      <w:tr w:rsidR="006A4EC3" w:rsidRPr="00D178A0" w:rsidTr="006A4EC3">
        <w:tc>
          <w:tcPr>
            <w:tcW w:w="9061" w:type="dxa"/>
          </w:tcPr>
          <w:p w:rsidR="006A4EC3" w:rsidRPr="00D178A0" w:rsidRDefault="00D178A0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  <w:r>
              <w:rPr>
                <w:rFonts w:asciiTheme="majorHAnsi" w:eastAsia="Liberation Sans" w:hAnsiTheme="majorHAnsi" w:cstheme="majorHAnsi"/>
                <w:sz w:val="22"/>
                <w:szCs w:val="22"/>
              </w:rPr>
              <w:t>SESIÓN INICIAL + 9 SESIONES ORDINARIAS + SESIÓN DE MEMORIA FINAL Y CIERRE DE LA FORMACIÓN</w:t>
            </w: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D178A0" w:rsidRDefault="00D178A0" w:rsidP="006A4EC3">
            <w:pPr>
              <w:spacing w:after="57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178A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NÚMERO DE HORAS POR SESIÓN</w:t>
            </w:r>
          </w:p>
        </w:tc>
      </w:tr>
      <w:tr w:rsidR="006A4EC3" w:rsidRPr="00D178A0" w:rsidTr="006A4EC3">
        <w:tc>
          <w:tcPr>
            <w:tcW w:w="9061" w:type="dxa"/>
          </w:tcPr>
          <w:p w:rsidR="006A4EC3" w:rsidRPr="00D178A0" w:rsidRDefault="00D178A0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  <w:r>
              <w:rPr>
                <w:rFonts w:asciiTheme="majorHAnsi" w:eastAsia="Liberation Sans" w:hAnsiTheme="majorHAnsi" w:cstheme="majorHAnsi"/>
                <w:sz w:val="22"/>
                <w:szCs w:val="22"/>
              </w:rPr>
              <w:t>2 HORAS</w:t>
            </w:r>
            <w:r w:rsidR="001D0DD0">
              <w:rPr>
                <w:rFonts w:asciiTheme="majorHAnsi" w:eastAsia="Liberation Sans" w:hAnsiTheme="majorHAnsi" w:cstheme="majorHAnsi"/>
                <w:sz w:val="22"/>
                <w:szCs w:val="22"/>
              </w:rPr>
              <w:t xml:space="preserve"> P</w:t>
            </w:r>
            <w:r>
              <w:rPr>
                <w:rFonts w:asciiTheme="majorHAnsi" w:eastAsia="Liberation Sans" w:hAnsiTheme="majorHAnsi" w:cstheme="majorHAnsi"/>
                <w:sz w:val="22"/>
                <w:szCs w:val="22"/>
              </w:rPr>
              <w:t>OR SESIÓN</w:t>
            </w: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1D0DD0" w:rsidRDefault="00D178A0" w:rsidP="006A4EC3">
            <w:pPr>
              <w:spacing w:after="57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1D0DD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 xml:space="preserve">CALENDARIO </w:t>
            </w:r>
            <w:r w:rsidR="001D0DD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 xml:space="preserve">PROGRMADO </w:t>
            </w:r>
            <w:r w:rsidRPr="001D0DD0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DE REUNIONES</w:t>
            </w:r>
          </w:p>
        </w:tc>
      </w:tr>
      <w:tr w:rsidR="006A4EC3" w:rsidRPr="00D178A0" w:rsidTr="006A4EC3">
        <w:tc>
          <w:tcPr>
            <w:tcW w:w="906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976"/>
            </w:tblGrid>
            <w:tr w:rsidR="00D178A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D178A0" w:rsidRDefault="00D178A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INICIAL</w:t>
                  </w:r>
                  <w:r w:rsidR="001D0DD0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 DEL GT</w:t>
                  </w:r>
                </w:p>
              </w:tc>
              <w:tc>
                <w:tcPr>
                  <w:tcW w:w="5976" w:type="dxa"/>
                </w:tcPr>
                <w:p w:rsidR="00D178A0" w:rsidRDefault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4 DE NOVIEMBRE DE 2019</w:t>
                  </w:r>
                </w:p>
              </w:tc>
            </w:tr>
            <w:tr w:rsidR="00D178A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D178A0" w:rsidRDefault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Nº2</w:t>
                  </w:r>
                </w:p>
              </w:tc>
              <w:tc>
                <w:tcPr>
                  <w:tcW w:w="5976" w:type="dxa"/>
                </w:tcPr>
                <w:p w:rsidR="00D178A0" w:rsidRDefault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11 DE NOVIEMBRE DE 2019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Nº3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2 DE DICIEMBRE DE 2019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Nº4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13 DE ENERO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Nº5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3 DE FEBRERO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 Nº6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2 DE MARZO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D02631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SESIÓN </w:t>
                  </w:r>
                  <w:r w:rsidR="001D0DD0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Nº7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6 DE ABRIL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D02631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SESIÓN </w:t>
                  </w:r>
                  <w:r w:rsidR="001D0DD0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Nº8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4 DE MAYO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D02631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SESIÓN </w:t>
                  </w:r>
                  <w:r w:rsidR="001D0DD0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Nº9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1 DE JUNIO DE 2020</w:t>
                  </w:r>
                </w:p>
              </w:tc>
            </w:tr>
            <w:tr w:rsidR="001D0DD0" w:rsidTr="00F4608D">
              <w:tc>
                <w:tcPr>
                  <w:tcW w:w="2859" w:type="dxa"/>
                  <w:shd w:val="clear" w:color="auto" w:fill="CCC0D9" w:themeFill="accent4" w:themeFillTint="66"/>
                </w:tcPr>
                <w:p w:rsidR="001D0DD0" w:rsidRDefault="001D0DD0" w:rsidP="001D0DD0">
                  <w:pPr>
                    <w:tabs>
                      <w:tab w:val="left" w:pos="58"/>
                      <w:tab w:val="left" w:pos="1334"/>
                    </w:tabs>
                    <w:spacing w:after="113"/>
                    <w:ind w:right="317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SESIÓN</w:t>
                  </w:r>
                  <w:r w:rsidR="00D02631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 Nº10</w:t>
                  </w: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 – MEMORIA FINAL 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15 DE JUNIO DE 2020</w:t>
                  </w:r>
                </w:p>
              </w:tc>
            </w:tr>
            <w:tr w:rsidR="001D0DD0" w:rsidTr="001D0DD0">
              <w:tc>
                <w:tcPr>
                  <w:tcW w:w="2859" w:type="dxa"/>
                </w:tcPr>
                <w:p w:rsidR="001D0DD0" w:rsidRDefault="001D0DD0" w:rsidP="001D0DD0">
                  <w:pPr>
                    <w:tabs>
                      <w:tab w:val="left" w:pos="58"/>
                      <w:tab w:val="left" w:pos="1334"/>
                    </w:tabs>
                    <w:spacing w:after="113"/>
                    <w:ind w:right="317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NOTA ACLARATORIA</w:t>
                  </w:r>
                </w:p>
              </w:tc>
              <w:tc>
                <w:tcPr>
                  <w:tcW w:w="5976" w:type="dxa"/>
                </w:tcPr>
                <w:p w:rsidR="001D0DD0" w:rsidRDefault="001D0DD0" w:rsidP="001D0DD0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>Si alguna de las sesiones</w:t>
                  </w:r>
                  <w:r w:rsidR="00D02631">
                    <w:rPr>
                      <w:rFonts w:asciiTheme="majorHAnsi" w:eastAsia="Liberation Sans" w:hAnsiTheme="majorHAnsi" w:cstheme="majorHAnsi"/>
                      <w:sz w:val="22"/>
                      <w:szCs w:val="22"/>
                    </w:rPr>
                    <w:t xml:space="preserve"> programadas no pudiera ser celebrada en fecha, se buscaría otra fecha alternativa de reunión, que será comunicada al CEP de Guadix, a través de su asesor de centro.</w:t>
                  </w:r>
                </w:p>
              </w:tc>
            </w:tr>
          </w:tbl>
          <w:p w:rsidR="006A4EC3" w:rsidRPr="00D178A0" w:rsidRDefault="006A4EC3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</w:p>
        </w:tc>
      </w:tr>
      <w:tr w:rsidR="006A4EC3" w:rsidRPr="00D178A0" w:rsidTr="001D425C">
        <w:tc>
          <w:tcPr>
            <w:tcW w:w="9061" w:type="dxa"/>
            <w:shd w:val="clear" w:color="auto" w:fill="FDE9D9" w:themeFill="accent6" w:themeFillTint="33"/>
          </w:tcPr>
          <w:p w:rsidR="006A4EC3" w:rsidRPr="00D02631" w:rsidRDefault="00D02631" w:rsidP="006A4EC3">
            <w:pPr>
              <w:spacing w:after="57"/>
              <w:jc w:val="both"/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</w:pPr>
            <w:r w:rsidRPr="00D02631">
              <w:rPr>
                <w:rFonts w:asciiTheme="majorHAnsi" w:eastAsia="Liberation Sans" w:hAnsiTheme="majorHAnsi" w:cstheme="majorHAnsi"/>
                <w:b/>
                <w:sz w:val="22"/>
                <w:szCs w:val="22"/>
              </w:rPr>
              <w:t>SITUACIÓN DE PARTIDA</w:t>
            </w:r>
          </w:p>
        </w:tc>
      </w:tr>
      <w:tr w:rsidR="006A4EC3" w:rsidRPr="00D178A0" w:rsidTr="006A4EC3">
        <w:tc>
          <w:tcPr>
            <w:tcW w:w="9061" w:type="dxa"/>
          </w:tcPr>
          <w:p w:rsidR="00D02631" w:rsidRDefault="00D02631" w:rsidP="00D0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Partimos del trabajo comenzado en el curso anterior, actua</w:t>
            </w:r>
            <w:r w:rsidRPr="00D02631">
              <w:rPr>
                <w:rFonts w:ascii="Calibri" w:eastAsia="Arial" w:hAnsi="Calibri" w:cs="Calibri"/>
                <w:sz w:val="22"/>
                <w:szCs w:val="22"/>
              </w:rPr>
              <w:t>lizando</w:t>
            </w:r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el currículo </w:t>
            </w:r>
            <w:r w:rsidRPr="00D02631">
              <w:rPr>
                <w:rFonts w:ascii="Calibri" w:eastAsia="Arial" w:hAnsi="Calibri" w:cs="Calibri"/>
                <w:sz w:val="22"/>
                <w:szCs w:val="22"/>
              </w:rPr>
              <w:t xml:space="preserve">para que se adapte a </w:t>
            </w:r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la nueva normativa, destacando la importancia del uso de técnicas e instrumentos de evaluación como recursos para el desarrollo de las competencias clave. Nos planteamos que es necesario seguir trabajando en esta línea para continuar elaborando la concreción curricular y empezar a desarrollar las </w:t>
            </w:r>
            <w:proofErr w:type="spellStart"/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>UDIs</w:t>
            </w:r>
            <w:proofErr w:type="spellEnd"/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Esto nos compromete a desarrollar estrategias metodológicas para abordar los procesos  de enseñanza aprendizaje y conseguir adaptar la práctica docente al desarrollo de las competencias </w:t>
            </w:r>
            <w:r w:rsidRPr="00D02631">
              <w:rPr>
                <w:rFonts w:ascii="Calibri" w:eastAsia="Arial" w:hAnsi="Calibri" w:cs="Calibri"/>
                <w:color w:val="000000"/>
                <w:sz w:val="22"/>
                <w:szCs w:val="22"/>
              </w:rPr>
              <w:lastRenderedPageBreak/>
              <w:t>clave a través del diseño de líneas de intervención innovadoras para mejorar las prácticas educativas.</w:t>
            </w:r>
          </w:p>
          <w:p w:rsidR="00D02631" w:rsidRPr="00D02631" w:rsidRDefault="00D02631" w:rsidP="00D0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Pero, tras cerrar con un buen grado de satisfacción el trabajo desarrollado en el pasado ejercicio 18-19, 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hemos estado debatiendo sobre la necesidad de revisar y cambiar nuestros procedimientos de evaluación, adaptándonos a la normativa vigente, partiendo de la base de que tenemos dos problemas básicos: en el claustro de ESO de nuestro centro educativo, y por decisión de nuestra dirección titular, hemos estado evaluando a nuestro alumnado de manera errónea, ya que evaluamos (mediante hojas de cálculo) </w:t>
            </w:r>
            <w:r>
              <w:rPr>
                <w:rFonts w:ascii="Calibri" w:eastAsia="Liberation Sans" w:hAnsi="Calibri" w:cs="Calibri"/>
                <w:sz w:val="22"/>
                <w:szCs w:val="22"/>
              </w:rPr>
              <w:t>priorizando los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 INSTRUMENTOS DE EVALUACIÓN, incluyendo en ellos los CRITERIOS que quedan definidos para cada una de las unidades didácticas que estamos impartiendo</w:t>
            </w:r>
            <w:r>
              <w:rPr>
                <w:rFonts w:ascii="Calibri" w:eastAsia="Liberation Sans" w:hAnsi="Calibri" w:cs="Calibri"/>
                <w:sz w:val="22"/>
                <w:szCs w:val="22"/>
              </w:rPr>
              <w:t xml:space="preserve"> (no por estándares de aprendizaje, ya que quedan implícitos en los criterios: Los estándares sí nos servirán para clarificar qué criterio es el seleccionado para evaluar al alumnado, con uno u otro instrumento de calificación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… Con la actual legislación vigente, debemos aunar los PROCEDIMIENTOS DE EVALUACIÓN Y CALIFICACIÓN, de manera que no lo hagamos como lo hemos venido haciendo</w:t>
            </w:r>
            <w:r>
              <w:rPr>
                <w:rFonts w:ascii="Calibri" w:eastAsia="Liberation Sans" w:hAnsi="Calibri" w:cs="Calibri"/>
                <w:sz w:val="22"/>
                <w:szCs w:val="22"/>
              </w:rPr>
              <w:t xml:space="preserve"> hasta el momento; y debemos también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 incorporar los CRITERIOS DE EVALUACIÓN como verdaderos indicadores de la evaluación cada unidad didáctica</w:t>
            </w:r>
            <w:r>
              <w:rPr>
                <w:rFonts w:ascii="Calibri" w:eastAsia="Liberation Sans" w:hAnsi="Calibri" w:cs="Calibri"/>
                <w:sz w:val="22"/>
                <w:szCs w:val="22"/>
              </w:rPr>
              <w:t>, con un valor ponderado que sea eficaz para resaltar la importancia de las pruebas llevadas a cabo para evaluarlos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>, y que sean clarificadores para el alumnado y sus familias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.</w:t>
            </w:r>
          </w:p>
          <w:p w:rsidR="003C6D17" w:rsidRDefault="003C6D17" w:rsidP="00D02631">
            <w:pPr>
              <w:spacing w:after="113"/>
              <w:jc w:val="both"/>
              <w:rPr>
                <w:rFonts w:ascii="Calibri" w:eastAsia="Liberation Sans" w:hAnsi="Calibri" w:cs="Calibri"/>
                <w:sz w:val="22"/>
                <w:szCs w:val="22"/>
              </w:rPr>
            </w:pPr>
          </w:p>
          <w:p w:rsidR="00D02631" w:rsidRPr="00D02631" w:rsidRDefault="00D02631" w:rsidP="00D02631">
            <w:pPr>
              <w:spacing w:after="113"/>
              <w:jc w:val="both"/>
              <w:rPr>
                <w:rFonts w:ascii="Calibri" w:eastAsia="Liberation Sans" w:hAnsi="Calibri" w:cs="Calibri"/>
                <w:sz w:val="22"/>
                <w:szCs w:val="22"/>
              </w:rPr>
            </w:pP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El segundo problema 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 xml:space="preserve">que tenemos 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es que cada uno de los docentes de este claustro tiene su propia hoja de cálculo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 xml:space="preserve"> diferente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 para evaluar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 xml:space="preserve"> al alumnado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, tal que no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 xml:space="preserve"> hay homogeneidad en las mismas;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 xml:space="preserve"> y esto supone un problema de claridad en las herramientas co</w:t>
            </w:r>
            <w:r w:rsidR="00065E96">
              <w:rPr>
                <w:rFonts w:ascii="Calibri" w:eastAsia="Liberation Sans" w:hAnsi="Calibri" w:cs="Calibri"/>
                <w:sz w:val="22"/>
                <w:szCs w:val="22"/>
              </w:rPr>
              <w:t>n las que hemos venido trabajando hasta el presente momento. Así que h</w:t>
            </w: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emos decidido unificar criterios en el diseño de las herramientas de evaluación, en el diseño de una única hoja de cálculo que sea útil para todas las materias aplicadas e instruidas, en los procedimientos seleccionados para evaluar y homogeneizar las hojas de evaluación.</w:t>
            </w:r>
          </w:p>
          <w:p w:rsidR="00D02631" w:rsidRPr="00D02631" w:rsidRDefault="00D02631" w:rsidP="00D0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D02631">
              <w:rPr>
                <w:rFonts w:ascii="Calibri" w:eastAsia="Liberation Sans" w:hAnsi="Calibri" w:cs="Calibri"/>
                <w:sz w:val="22"/>
                <w:szCs w:val="22"/>
              </w:rPr>
              <w:t>Para ello, solicitaremos formalmente la ayuda de nuestro asesor en el CEP de GUADIX, para que nos instruya en todas estas finalidades.</w:t>
            </w:r>
          </w:p>
          <w:p w:rsidR="006A4EC3" w:rsidRPr="00D178A0" w:rsidRDefault="006A4EC3">
            <w:pPr>
              <w:spacing w:after="113"/>
              <w:jc w:val="both"/>
              <w:rPr>
                <w:rFonts w:asciiTheme="majorHAnsi" w:eastAsia="Liberation Sans" w:hAnsiTheme="majorHAnsi" w:cstheme="majorHAnsi"/>
                <w:sz w:val="22"/>
                <w:szCs w:val="22"/>
              </w:rPr>
            </w:pPr>
          </w:p>
        </w:tc>
      </w:tr>
      <w:tr w:rsidR="00065E96" w:rsidRPr="00D178A0" w:rsidTr="00065E96"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D0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lastRenderedPageBreak/>
              <w:t>FINALIDAD</w:t>
            </w:r>
          </w:p>
        </w:tc>
      </w:tr>
      <w:tr w:rsidR="00065E96" w:rsidRPr="00D178A0" w:rsidTr="006A4EC3">
        <w:tc>
          <w:tcPr>
            <w:tcW w:w="9061" w:type="dxa"/>
          </w:tcPr>
          <w:p w:rsidR="00065E96" w:rsidRPr="00065E96" w:rsidRDefault="00065E96" w:rsidP="0006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La finalidad del proyecto es la 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revisión y 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elaboración de 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herramientas de evaluación y hojas de registro de datos (hojas de cálculo) que resulten verdaderamente más claras, transparentes y eficaces a la hora de evaluar por CRITERRIOS DE EVALUACIÓN, 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adecuando dichos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instrumentos de evaluación y realizando propuestas metodológicas que incluyan metodologías activas que favorezcan el aprendizaje por competencias para propiciar un cambio metodo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lógico en las prácticas de aula, unificando y homogeneizando dichas hojas de cálculo de evaluación.</w:t>
            </w:r>
          </w:p>
        </w:tc>
      </w:tr>
      <w:tr w:rsidR="00065E96" w:rsidRPr="00D178A0" w:rsidTr="00065E96"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D0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OBJETIVOS DE RESULTADO</w:t>
            </w:r>
          </w:p>
        </w:tc>
      </w:tr>
      <w:tr w:rsidR="00065E96" w:rsidRPr="00D178A0" w:rsidTr="008A298F">
        <w:trPr>
          <w:trHeight w:val="701"/>
        </w:trPr>
        <w:tc>
          <w:tcPr>
            <w:tcW w:w="9061" w:type="dxa"/>
          </w:tcPr>
          <w:p w:rsidR="00065E96" w:rsidRPr="00065E96" w:rsidRDefault="00065E96" w:rsidP="00065E96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Elaborar las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herramientas de evaluación y calificación acordes a las 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programaciones didácticas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,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incluyendo propuestas metodológicas que favorezcan el aprendizaje por competencias y su aplicación al aula (programación de aula y UDI)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  <w:p w:rsidR="00065E96" w:rsidRPr="00065E96" w:rsidRDefault="00065E96" w:rsidP="00065E96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Realizar trabajos cooperativos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entre los miembros del grupo de trabajo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  <w:p w:rsidR="00065E96" w:rsidRPr="00065E96" w:rsidRDefault="00065E96" w:rsidP="00065E96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Trabajar por 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asignación de 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tareas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entre los miembros del grupo de trabajo</w:t>
            </w: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  <w:p w:rsidR="00065E96" w:rsidRDefault="00065E96" w:rsidP="00065E96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Concretar técnicas e instrumentos de evaluación acordes con los criterios de evaluac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ión y estándares de aprendizaje</w:t>
            </w:r>
          </w:p>
          <w:p w:rsidR="008A298F" w:rsidRPr="00065E96" w:rsidRDefault="008A298F" w:rsidP="00065E96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Aplicar dichas herramientas de evaluación en todas y cada una de las materias de la etapa de educación secundaria obligatoria (a lo largo del curso 19-20).</w:t>
            </w:r>
          </w:p>
          <w:p w:rsidR="00065E96" w:rsidRPr="008A298F" w:rsidRDefault="00065E96" w:rsidP="008A298F">
            <w:pPr>
              <w:pStyle w:val="Prrafodelista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uppressAutoHyphens/>
              <w:spacing w:before="259" w:line="259" w:lineRule="auto"/>
              <w:rPr>
                <w:rFonts w:asciiTheme="majorHAnsi" w:eastAsia="Libre Franklin Medium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lastRenderedPageBreak/>
              <w:t>Mejorar    la    coordinación de la etapa    y    unificar    criterios metodológicos, organizati</w:t>
            </w:r>
            <w:r w:rsidR="008A298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vos, tutoriales y de evaluación.</w:t>
            </w:r>
          </w:p>
        </w:tc>
      </w:tr>
      <w:tr w:rsidR="00065E96" w:rsidRPr="00D178A0" w:rsidTr="008A298F">
        <w:trPr>
          <w:trHeight w:val="428"/>
        </w:trPr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065E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uppressAutoHyphens/>
              <w:spacing w:before="374" w:line="252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lastRenderedPageBreak/>
              <w:t>REPERCUSIÓN Y RESULTADOS QUE SEPRETENDEN ALCANZAR</w:t>
            </w:r>
          </w:p>
        </w:tc>
      </w:tr>
      <w:tr w:rsidR="00065E96" w:rsidRPr="00D178A0" w:rsidTr="006A4EC3">
        <w:tc>
          <w:tcPr>
            <w:tcW w:w="9061" w:type="dxa"/>
          </w:tcPr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>-Terminar</w:t>
            </w:r>
            <w:r w:rsidR="008A29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el curso con las herramientas de evaluación unificadas y homogeneizadas acordes a las programaciones de aula</w:t>
            </w: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desarrolladas y adaptadas al currículo de la LOMCE.</w:t>
            </w:r>
          </w:p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>-Aplicar de forma práctica en el aula los contenidos desarrollados en esta formación.</w:t>
            </w:r>
          </w:p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>-Establecer un proceso de reflexión y renovación ante los cambios que suponen esta práctica docente</w:t>
            </w:r>
          </w:p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>- Llevar a cabo una evaluación del proceso formativo con la intención de determinar el grado de consecució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 de los objetivos establecidos</w:t>
            </w:r>
          </w:p>
        </w:tc>
      </w:tr>
      <w:tr w:rsidR="00065E96" w:rsidRPr="00D178A0" w:rsidTr="00065E96"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NECESIDADES DE RECURSOS EXTERNOS</w:t>
            </w:r>
          </w:p>
        </w:tc>
      </w:tr>
      <w:tr w:rsidR="00065E96" w:rsidRPr="00D178A0" w:rsidTr="006A4EC3">
        <w:tc>
          <w:tcPr>
            <w:tcW w:w="9061" w:type="dxa"/>
          </w:tcPr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sz w:val="22"/>
                <w:szCs w:val="22"/>
              </w:rPr>
              <w:t>Asesoramiento por parte del personal del CEP</w:t>
            </w:r>
          </w:p>
        </w:tc>
      </w:tr>
      <w:tr w:rsidR="00065E96" w:rsidRPr="00D178A0" w:rsidTr="00065E96"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PLAN DE ACTUACIONES</w:t>
            </w:r>
          </w:p>
        </w:tc>
      </w:tr>
      <w:tr w:rsidR="00065E96" w:rsidRPr="00D178A0" w:rsidTr="006A4EC3">
        <w:tc>
          <w:tcPr>
            <w:tcW w:w="906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3575"/>
              <w:gridCol w:w="2957"/>
            </w:tblGrid>
            <w:tr w:rsidR="008A298F" w:rsidTr="008A298F">
              <w:tc>
                <w:tcPr>
                  <w:tcW w:w="2303" w:type="dxa"/>
                  <w:shd w:val="clear" w:color="auto" w:fill="D6E3BC" w:themeFill="accent3" w:themeFillTint="66"/>
                </w:tcPr>
                <w:p w:rsidR="008A298F" w:rsidRPr="008A298F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8A298F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TEMPORALIZACIÓN</w:t>
                  </w:r>
                </w:p>
              </w:tc>
              <w:tc>
                <w:tcPr>
                  <w:tcW w:w="3575" w:type="dxa"/>
                  <w:shd w:val="clear" w:color="auto" w:fill="D6E3BC" w:themeFill="accent3" w:themeFillTint="66"/>
                </w:tcPr>
                <w:p w:rsidR="008A298F" w:rsidRPr="008A298F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8A298F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2957" w:type="dxa"/>
                  <w:shd w:val="clear" w:color="auto" w:fill="D6E3BC" w:themeFill="accent3" w:themeFillTint="66"/>
                </w:tcPr>
                <w:p w:rsidR="008A298F" w:rsidRPr="008A298F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8A298F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APLICACIÓN EN EL AULA O CENTRO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INICIAL DEL GT</w:t>
                  </w:r>
                </w:p>
              </w:tc>
              <w:tc>
                <w:tcPr>
                  <w:tcW w:w="3575" w:type="dxa"/>
                </w:tcPr>
                <w:p w:rsidR="008A298F" w:rsidRPr="008A298F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 w:rsidRPr="008A298F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PUESTA EN MARCHA DEL GRUPO DE TRABAJO: TÍTULO / FINALIDAD /</w:t>
                  </w: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CALENDARIO / MIMEBROS DEL GRUPO, ETC…</w:t>
                  </w:r>
                </w:p>
              </w:tc>
              <w:tc>
                <w:tcPr>
                  <w:tcW w:w="2957" w:type="dxa"/>
                </w:tcPr>
                <w:p w:rsidR="008A298F" w:rsidRPr="008A298F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</w:t>
                  </w:r>
                  <w:r w:rsidR="003C6D17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EFLEXIÓN Y ANÁLISIS EN EL GRUPO DE TRABAJO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Nº2</w:t>
                  </w:r>
                </w:p>
              </w:tc>
              <w:tc>
                <w:tcPr>
                  <w:tcW w:w="3575" w:type="dxa"/>
                </w:tcPr>
                <w:p w:rsidR="008A298F" w:rsidRPr="008A298F" w:rsidRDefault="003C6D17" w:rsidP="003C6D17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 xml:space="preserve">REFLEXIÓN DE OS MIEMBROS DEL GRUPO ACERCA DE LAS HERRAMIENTAS E INSTRUMENTOS DE EVALUACIÓN Y CALIFICACIÓN UTILIZADOS HASTA LA FECHA Y </w:t>
                  </w:r>
                  <w:r w:rsidRPr="003C6D17"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>UESTA EN COMÚN +</w:t>
                  </w:r>
                  <w:r w:rsidRPr="003C6D17"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 xml:space="preserve"> ANÁLISIS DE LA ADECUACIÓN DE</w:t>
                  </w:r>
                  <w:r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 xml:space="preserve"> LOS MISMOS A</w:t>
                  </w:r>
                  <w:r w:rsidRPr="003C6D17"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 xml:space="preserve"> LA CONCRECIÓN CURRICULAR</w:t>
                  </w:r>
                </w:p>
              </w:tc>
              <w:tc>
                <w:tcPr>
                  <w:tcW w:w="2957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REFLEXIÓN Y ANÁLISIS EN EL GRUPO DE TRABAJO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Nº3</w:t>
                  </w:r>
                </w:p>
              </w:tc>
              <w:tc>
                <w:tcPr>
                  <w:tcW w:w="3575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REVISAR LOS INSTRUMENTOS DE CALIFICACIÓN Y EVALUACIÓN ESTABLECIDOS EN NUESTRO CENTRO EDUCATIVO, PENSAR, REFLEXIONAR Y DECIDIR EL MODELO UNIFICADO DE EVALUACIÓN QUE QUEREMOS LLEVAR A CABO EN NUEESTRO COLEGIO</w:t>
                  </w:r>
                </w:p>
              </w:tc>
              <w:tc>
                <w:tcPr>
                  <w:tcW w:w="2957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REFLEXIÓN Y ANÁLISIS EN EL GRUPO DE TRABAJO</w:t>
                  </w:r>
                </w:p>
              </w:tc>
            </w:tr>
            <w:tr w:rsidR="003C6D17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3C6D17" w:rsidRPr="003C6D17" w:rsidRDefault="003C6D17" w:rsidP="003C6D17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Nº4</w:t>
                  </w:r>
                </w:p>
              </w:tc>
              <w:tc>
                <w:tcPr>
                  <w:tcW w:w="3575" w:type="dxa"/>
                </w:tcPr>
                <w:p w:rsidR="003C6D17" w:rsidRPr="008A298F" w:rsidRDefault="003C6D17" w:rsidP="003C6D17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SESIÓN DE TRABAJO CON EL ASESOR DEL CEP (I)</w:t>
                  </w:r>
                </w:p>
              </w:tc>
              <w:tc>
                <w:tcPr>
                  <w:tcW w:w="2957" w:type="dxa"/>
                </w:tcPr>
                <w:p w:rsidR="003C6D17" w:rsidRDefault="003C6D17" w:rsidP="003C6D17">
                  <w:r w:rsidRPr="00743D60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REFLEXIÓN Y ANÁLISIS EN EL GRUPO DE TRABAJO</w:t>
                  </w:r>
                </w:p>
              </w:tc>
            </w:tr>
            <w:tr w:rsidR="003C6D17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3C6D17" w:rsidRPr="003C6D17" w:rsidRDefault="003C6D17" w:rsidP="003C6D17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Nº5</w:t>
                  </w:r>
                </w:p>
              </w:tc>
              <w:tc>
                <w:tcPr>
                  <w:tcW w:w="3575" w:type="dxa"/>
                </w:tcPr>
                <w:p w:rsidR="003C6D17" w:rsidRPr="008A298F" w:rsidRDefault="003C6D17" w:rsidP="003C6D17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SESIÓN DE TRABAJO CON EL ASESOR DEL CEP (II)</w:t>
                  </w:r>
                </w:p>
              </w:tc>
              <w:tc>
                <w:tcPr>
                  <w:tcW w:w="2957" w:type="dxa"/>
                </w:tcPr>
                <w:p w:rsidR="003C6D17" w:rsidRDefault="003C6D17" w:rsidP="003C6D17">
                  <w:r w:rsidRPr="00743D60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REFLEXIÓN Y ANÁLISIS EN EL GRUPO DE TRABAJO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Nº6</w:t>
                  </w:r>
                </w:p>
              </w:tc>
              <w:tc>
                <w:tcPr>
                  <w:tcW w:w="3575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DISEÑO DE LAS </w:t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HERRA</w:t>
                  </w: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MIENTAS Y HOJAS DE CÁLCULO UNIFICADAS PARA EVALUAR A NUESTRO ALUMNADO (I)</w:t>
                  </w:r>
                </w:p>
              </w:tc>
              <w:tc>
                <w:tcPr>
                  <w:tcW w:w="2957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SESIÓN DE TRABAJO PRÁCTICO EN SALA DE INFORMÁTICA DEL CENTRO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Nº7</w:t>
                  </w:r>
                </w:p>
              </w:tc>
              <w:tc>
                <w:tcPr>
                  <w:tcW w:w="3575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DISEÑO DE LAS </w:t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HERRA</w:t>
                  </w: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MIENTAS Y HOJAS DE CÁLCULO UNIFICADAS PARA EVALUAR A NUESTRO ALUMNADO (II)</w:t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</w:t>
                  </w:r>
                  <w:r w:rsidR="00F4608D" w:rsidRP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sym w:font="Wingdings" w:char="F0E0"/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APLICACIÓN DE LAS HERRARMIENTAS Y HOJAS DE CÁLCULO UNIFICADAS PARA EVALUAR A NUESTRO ALUMNADO, POR MATERIAS, POR TODOS LOS DOCENTES EN UNA UDI</w:t>
                  </w:r>
                </w:p>
              </w:tc>
              <w:tc>
                <w:tcPr>
                  <w:tcW w:w="2957" w:type="dxa"/>
                </w:tcPr>
                <w:p w:rsidR="008A298F" w:rsidRPr="008A298F" w:rsidRDefault="003C6D17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SESIÓN DE TRABAJO PRÁCTICO EN SALA DE INFORMÁTICA DEL CENTRO</w:t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</w:t>
                  </w:r>
                  <w:r w:rsidR="00F4608D" w:rsidRP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sym w:font="Wingdings" w:char="F0E0"/>
                  </w:r>
                  <w:r w:rsid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PRUEBA DE CAMPO: APLICACIÓN DE LAS HERRAMIENTAS Y HOJAS DE CÁCULO A LA EVALUACIÓN DEL ALUMNADO EN EL AULA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Nº8</w:t>
                  </w:r>
                </w:p>
              </w:tc>
              <w:tc>
                <w:tcPr>
                  <w:tcW w:w="3575" w:type="dxa"/>
                </w:tcPr>
                <w:p w:rsidR="008A298F" w:rsidRPr="008A298F" w:rsidRDefault="00F4608D" w:rsidP="00F4608D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ANÁLISIS DE LA PRUEBA DE LOS RESULTADOS DE DICHA APLICACIÓN PRÁCTICA </w:t>
                  </w:r>
                  <w:r w:rsidRPr="00F4608D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sym w:font="Wingdings" w:char="F0E0"/>
                  </w: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 PROPUESTAS DE MEJORA DE DICHA PRUEBA DE CAMPO Nº1</w:t>
                  </w:r>
                </w:p>
              </w:tc>
              <w:tc>
                <w:tcPr>
                  <w:tcW w:w="2957" w:type="dxa"/>
                </w:tcPr>
                <w:p w:rsidR="008A298F" w:rsidRPr="008A298F" w:rsidRDefault="00F4608D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 w:rsidRPr="00743D60"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REFLEXIÓN Y ANÁLISIS EN EL GRUPO DE TRABAJO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>SESIÓN Nº9</w:t>
                  </w:r>
                </w:p>
              </w:tc>
              <w:tc>
                <w:tcPr>
                  <w:tcW w:w="3575" w:type="dxa"/>
                </w:tcPr>
                <w:p w:rsidR="008A298F" w:rsidRPr="008A298F" w:rsidRDefault="00F4608D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 xml:space="preserve">APLICACIÓN DE LAS PROPUESTAS DE MEJORA A LAS HERRAMIENTAS DE EVALUACIÓN </w:t>
                  </w:r>
                </w:p>
              </w:tc>
              <w:tc>
                <w:tcPr>
                  <w:tcW w:w="2957" w:type="dxa"/>
                </w:tcPr>
                <w:p w:rsidR="008A298F" w:rsidRPr="008A298F" w:rsidRDefault="00F4608D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SESIÓN DE TRABAJO PRÁCTICO EN SALA DE INFORMÁTICA DEL CENTRO</w:t>
                  </w:r>
                </w:p>
              </w:tc>
            </w:tr>
            <w:tr w:rsidR="008A298F" w:rsidTr="008A298F">
              <w:tc>
                <w:tcPr>
                  <w:tcW w:w="2303" w:type="dxa"/>
                  <w:shd w:val="clear" w:color="auto" w:fill="CCC0D9" w:themeFill="accent4" w:themeFillTint="66"/>
                </w:tcPr>
                <w:p w:rsidR="008A298F" w:rsidRPr="003C6D17" w:rsidRDefault="008A298F" w:rsidP="008A298F">
                  <w:pPr>
                    <w:tabs>
                      <w:tab w:val="left" w:pos="58"/>
                      <w:tab w:val="left" w:pos="1334"/>
                    </w:tabs>
                    <w:spacing w:after="113"/>
                    <w:ind w:right="317"/>
                    <w:jc w:val="both"/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</w:pPr>
                  <w:r w:rsidRPr="003C6D17">
                    <w:rPr>
                      <w:rFonts w:asciiTheme="majorHAnsi" w:eastAsia="Liberation Sans" w:hAnsiTheme="majorHAnsi" w:cstheme="majorHAnsi"/>
                      <w:b/>
                      <w:sz w:val="22"/>
                      <w:szCs w:val="22"/>
                    </w:rPr>
                    <w:t xml:space="preserve">SESIÓN Nº10 – MEMORIA FINAL </w:t>
                  </w:r>
                </w:p>
              </w:tc>
              <w:tc>
                <w:tcPr>
                  <w:tcW w:w="3575" w:type="dxa"/>
                </w:tcPr>
                <w:p w:rsidR="008A298F" w:rsidRPr="008A298F" w:rsidRDefault="00F4608D" w:rsidP="008A298F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  <w:t>EVALUACIÓN DEL PROYECTO – MEMORIA FINAL DEL MISMO</w:t>
                  </w:r>
                </w:p>
              </w:tc>
              <w:tc>
                <w:tcPr>
                  <w:tcW w:w="2957" w:type="dxa"/>
                </w:tcPr>
                <w:p w:rsidR="00F4608D" w:rsidRPr="00F4608D" w:rsidRDefault="00F4608D" w:rsidP="00F460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</w:pPr>
                  <w:r w:rsidRPr="00F4608D"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t>VALORACIÓN DE LOS RESULTADOS OBTENIDOS, EL TRABAJO REALIZADO Y SU REPERCUSIÓN EN EL AULA.</w:t>
                  </w:r>
                </w:p>
                <w:p w:rsidR="008A298F" w:rsidRPr="008A298F" w:rsidRDefault="00F4608D" w:rsidP="00F4608D">
                  <w:pPr>
                    <w:spacing w:after="113"/>
                    <w:jc w:val="both"/>
                    <w:rPr>
                      <w:rFonts w:asciiTheme="majorHAnsi" w:eastAsia="Liberation Sans" w:hAnsiTheme="majorHAnsi" w:cstheme="majorHAnsi"/>
                      <w:sz w:val="18"/>
                      <w:szCs w:val="18"/>
                    </w:rPr>
                  </w:pPr>
                  <w:r w:rsidRPr="00F4608D">
                    <w:rPr>
                      <w:rFonts w:asciiTheme="majorHAnsi" w:eastAsia="Arial" w:hAnsiTheme="majorHAnsi" w:cstheme="majorHAnsi"/>
                      <w:color w:val="000000"/>
                      <w:sz w:val="18"/>
                      <w:szCs w:val="18"/>
                    </w:rPr>
                    <w:lastRenderedPageBreak/>
                    <w:t>ANALIZAR LAS MEJORAS CONSEGUIDAS Y LAS EVIDENCIAS DE LAS MISMAS.</w:t>
                  </w:r>
                </w:p>
              </w:tc>
            </w:tr>
          </w:tbl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065E96" w:rsidRPr="00D178A0" w:rsidTr="00065E96">
        <w:tc>
          <w:tcPr>
            <w:tcW w:w="9061" w:type="dxa"/>
            <w:shd w:val="clear" w:color="auto" w:fill="FDE9D9" w:themeFill="accent6" w:themeFillTint="33"/>
          </w:tcPr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lastRenderedPageBreak/>
              <w:t>EVALUACIÓN DEL TRABAJO</w:t>
            </w:r>
          </w:p>
        </w:tc>
      </w:tr>
      <w:tr w:rsidR="00065E96" w:rsidRPr="00D178A0" w:rsidTr="006A4EC3">
        <w:tc>
          <w:tcPr>
            <w:tcW w:w="9061" w:type="dxa"/>
          </w:tcPr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Grado de cumplimiento de los objetivos programados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Adecuación de la temporalización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Aprovechamiento de los recursos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Grado de participación de todos los profesores implicados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Realización de las tareas o actuaciones previstas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Asistencia a las reuniones programadas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Entrada en </w:t>
            </w:r>
            <w:proofErr w:type="spellStart"/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Colabor</w:t>
            </w:r>
            <w:proofErr w:type="spellEnd"/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@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Trabajo coordinado con el grupo </w:t>
            </w:r>
          </w:p>
          <w:p w:rsidR="00065E96" w:rsidRPr="00065E96" w:rsidRDefault="00065E96" w:rsidP="00065E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65E96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Desarrollo de las tareas o actuaciones previstas en el área</w:t>
            </w:r>
          </w:p>
          <w:p w:rsidR="00065E96" w:rsidRPr="00065E96" w:rsidRDefault="00065E96" w:rsidP="00065E96">
            <w:pPr>
              <w:spacing w:line="280" w:lineRule="auto"/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675770" w:rsidRPr="00D178A0" w:rsidTr="00675770">
        <w:tc>
          <w:tcPr>
            <w:tcW w:w="9061" w:type="dxa"/>
            <w:shd w:val="clear" w:color="auto" w:fill="FBD4B4" w:themeFill="accent6" w:themeFillTint="66"/>
          </w:tcPr>
          <w:p w:rsidR="00675770" w:rsidRPr="00675770" w:rsidRDefault="00675770" w:rsidP="00675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675770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MIEMBROS INTEGRANTES DEL GRUPO DE TRABAJO</w:t>
            </w:r>
          </w:p>
        </w:tc>
      </w:tr>
      <w:tr w:rsidR="00675770" w:rsidRPr="00D178A0" w:rsidTr="006A4EC3">
        <w:tc>
          <w:tcPr>
            <w:tcW w:w="9061" w:type="dxa"/>
          </w:tcPr>
          <w:tbl>
            <w:tblPr>
              <w:tblStyle w:val="a"/>
              <w:tblW w:w="8920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562"/>
              <w:gridCol w:w="4536"/>
              <w:gridCol w:w="1701"/>
              <w:gridCol w:w="2121"/>
            </w:tblGrid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Default="00675770" w:rsidP="00675770">
                  <w:pPr>
                    <w:jc w:val="right"/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Default="00675770" w:rsidP="00675770">
                  <w:pPr>
                    <w:jc w:val="center"/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  <w:t>Apellidos, Nombre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Default="00675770" w:rsidP="00675770">
                  <w:pPr>
                    <w:jc w:val="center"/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  <w:t>DNI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Default="00675770" w:rsidP="00675770">
                  <w:pPr>
                    <w:jc w:val="center"/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</w:pPr>
                  <w:r>
                    <w:rPr>
                      <w:rFonts w:ascii="Liberation Sans" w:eastAsia="Liberation Sans" w:hAnsi="Liberation Sans" w:cs="Liberation Sans"/>
                      <w:sz w:val="22"/>
                      <w:szCs w:val="22"/>
                    </w:rPr>
                    <w:t>Firma</w:t>
                  </w: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García Alguacil, Adriana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76667374W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Hernández Vera, Inmaculada 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44268018X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López Mateos, José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34841858D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Losada Olivera, Rosa María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44047693W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Martos Bono, Santiago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24162781Q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 xml:space="preserve">Morales </w:t>
                  </w:r>
                  <w:proofErr w:type="spellStart"/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Gámiz</w:t>
                  </w:r>
                  <w:proofErr w:type="spellEnd"/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Brígido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15474544Y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Robles Saavedra, María Belén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44289875V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Tauste</w:t>
                  </w:r>
                  <w:proofErr w:type="spellEnd"/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 xml:space="preserve"> López, Mª Ángeles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44258977P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3C4617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  <w:t>Vílchez Rodríguez, Lucía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14628738W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675770" w:rsidTr="00BF3B99">
              <w:trPr>
                <w:trHeight w:val="440"/>
                <w:jc w:val="center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5770" w:rsidRPr="00675770" w:rsidRDefault="00675770" w:rsidP="00675770">
                  <w:pPr>
                    <w:jc w:val="right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  <w:r w:rsidRPr="00675770"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75770" w:rsidRPr="00675770" w:rsidRDefault="00675770" w:rsidP="00675770">
                  <w:pPr>
                    <w:rPr>
                      <w:rFonts w:asciiTheme="majorHAnsi" w:eastAsia="Calibri" w:hAnsiTheme="majorHAnsi" w:cs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5770" w:rsidRPr="00675770" w:rsidRDefault="00675770" w:rsidP="00675770">
                  <w:pPr>
                    <w:jc w:val="both"/>
                    <w:rPr>
                      <w:rFonts w:asciiTheme="majorHAnsi" w:eastAsia="Liberation Sans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675770" w:rsidRPr="00065E96" w:rsidRDefault="00675770" w:rsidP="00675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6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4647BE" w:rsidRPr="00D178A0" w:rsidRDefault="004647BE" w:rsidP="00F4608D">
      <w:pPr>
        <w:rPr>
          <w:rFonts w:asciiTheme="majorHAnsi" w:eastAsia="Liberation Sans" w:hAnsiTheme="majorHAnsi" w:cstheme="majorHAnsi"/>
          <w:sz w:val="22"/>
          <w:szCs w:val="22"/>
        </w:rPr>
      </w:pPr>
    </w:p>
    <w:p w:rsidR="004647BE" w:rsidRPr="00D178A0" w:rsidRDefault="00F4608D">
      <w:pPr>
        <w:jc w:val="center"/>
        <w:rPr>
          <w:rFonts w:asciiTheme="majorHAnsi" w:eastAsia="Liberation Sans" w:hAnsiTheme="majorHAnsi" w:cstheme="majorHAnsi"/>
          <w:sz w:val="22"/>
          <w:szCs w:val="22"/>
        </w:rPr>
      </w:pPr>
      <w:r>
        <w:rPr>
          <w:rFonts w:asciiTheme="majorHAnsi" w:eastAsia="Liberation Sans" w:hAnsiTheme="majorHAnsi" w:cstheme="majorHAnsi"/>
          <w:sz w:val="22"/>
          <w:szCs w:val="22"/>
        </w:rPr>
        <w:t>En Guadix, a 19</w:t>
      </w:r>
      <w:r w:rsidR="00283B0E" w:rsidRPr="00D178A0">
        <w:rPr>
          <w:rFonts w:asciiTheme="majorHAnsi" w:eastAsia="Liberation Sans" w:hAnsiTheme="majorHAnsi" w:cstheme="majorHAnsi"/>
          <w:sz w:val="22"/>
          <w:szCs w:val="22"/>
        </w:rPr>
        <w:t xml:space="preserve"> de noviembre 2019</w:t>
      </w:r>
    </w:p>
    <w:p w:rsidR="004647BE" w:rsidRPr="00D178A0" w:rsidRDefault="004647BE">
      <w:pPr>
        <w:jc w:val="center"/>
        <w:rPr>
          <w:rFonts w:asciiTheme="majorHAnsi" w:eastAsia="Liberation Sans" w:hAnsiTheme="majorHAnsi" w:cstheme="majorHAnsi"/>
          <w:sz w:val="22"/>
          <w:szCs w:val="22"/>
        </w:rPr>
      </w:pPr>
    </w:p>
    <w:p w:rsidR="004647BE" w:rsidRPr="00D178A0" w:rsidRDefault="00283B0E">
      <w:pPr>
        <w:jc w:val="center"/>
        <w:rPr>
          <w:rFonts w:asciiTheme="majorHAnsi" w:eastAsia="Liberation Sans" w:hAnsiTheme="majorHAnsi" w:cstheme="majorHAnsi"/>
          <w:sz w:val="22"/>
          <w:szCs w:val="22"/>
        </w:rPr>
      </w:pPr>
      <w:r w:rsidRPr="00D178A0">
        <w:rPr>
          <w:rFonts w:asciiTheme="majorHAnsi" w:eastAsia="Liberation Sans" w:hAnsiTheme="majorHAnsi" w:cstheme="majorHAnsi"/>
          <w:sz w:val="22"/>
          <w:szCs w:val="22"/>
        </w:rPr>
        <w:t>El/La Coordinador/a</w:t>
      </w:r>
    </w:p>
    <w:p w:rsidR="004647BE" w:rsidRPr="00D178A0" w:rsidRDefault="004647BE">
      <w:pPr>
        <w:jc w:val="center"/>
        <w:rPr>
          <w:rFonts w:asciiTheme="majorHAnsi" w:eastAsia="Liberation Sans" w:hAnsiTheme="majorHAnsi" w:cstheme="majorHAnsi"/>
          <w:sz w:val="22"/>
          <w:szCs w:val="22"/>
        </w:rPr>
      </w:pPr>
    </w:p>
    <w:p w:rsidR="004647BE" w:rsidRPr="00D178A0" w:rsidRDefault="004647BE">
      <w:pPr>
        <w:jc w:val="center"/>
        <w:rPr>
          <w:rFonts w:asciiTheme="majorHAnsi" w:eastAsia="Liberation Sans" w:hAnsiTheme="majorHAnsi" w:cstheme="majorHAnsi"/>
          <w:sz w:val="22"/>
          <w:szCs w:val="22"/>
        </w:rPr>
      </w:pPr>
      <w:bookmarkStart w:id="2" w:name="_30j0zll" w:colFirst="0" w:colLast="0"/>
      <w:bookmarkEnd w:id="2"/>
    </w:p>
    <w:p w:rsidR="004647BE" w:rsidRPr="00D178A0" w:rsidRDefault="00283B0E">
      <w:pPr>
        <w:jc w:val="center"/>
        <w:rPr>
          <w:rFonts w:asciiTheme="majorHAnsi" w:hAnsiTheme="majorHAnsi" w:cstheme="majorHAnsi"/>
          <w:sz w:val="22"/>
          <w:szCs w:val="22"/>
        </w:rPr>
      </w:pPr>
      <w:r w:rsidRPr="00D178A0">
        <w:rPr>
          <w:rFonts w:asciiTheme="majorHAnsi" w:eastAsia="Liberation Sans" w:hAnsiTheme="majorHAnsi" w:cstheme="majorHAnsi"/>
          <w:sz w:val="22"/>
          <w:szCs w:val="22"/>
        </w:rPr>
        <w:t>Fdo.: José López Mateos</w:t>
      </w:r>
    </w:p>
    <w:sectPr w:rsidR="004647BE" w:rsidRPr="00D178A0">
      <w:headerReference w:type="first" r:id="rId7"/>
      <w:footerReference w:type="first" r:id="rId8"/>
      <w:pgSz w:w="11906" w:h="16838"/>
      <w:pgMar w:top="963" w:right="1417" w:bottom="737" w:left="1418" w:header="8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8F" w:rsidRDefault="00213D8F">
      <w:r>
        <w:separator/>
      </w:r>
    </w:p>
  </w:endnote>
  <w:endnote w:type="continuationSeparator" w:id="0">
    <w:p w:rsidR="00213D8F" w:rsidRDefault="002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Libre Franklin Medium">
    <w:altName w:val="Times New Roman"/>
    <w:charset w:val="00"/>
    <w:family w:val="auto"/>
    <w:pitch w:val="default"/>
  </w:font>
  <w:font w:name="Eras Md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BE" w:rsidRDefault="00283B0E">
    <w:pPr>
      <w:keepLines/>
      <w:pBdr>
        <w:top w:val="nil"/>
        <w:left w:val="nil"/>
        <w:bottom w:val="nil"/>
        <w:right w:val="nil"/>
        <w:between w:val="nil"/>
      </w:pBdr>
      <w:tabs>
        <w:tab w:val="left" w:pos="-1080"/>
        <w:tab w:val="center" w:pos="4320"/>
        <w:tab w:val="right" w:pos="9480"/>
      </w:tabs>
      <w:spacing w:before="420"/>
      <w:ind w:left="-1080" w:right="-840" w:firstLine="1080"/>
      <w:rPr>
        <w:rFonts w:ascii="Arial" w:eastAsia="Arial" w:hAnsi="Arial" w:cs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3632200</wp:posOffset>
              </wp:positionH>
              <wp:positionV relativeFrom="paragraph">
                <wp:posOffset>101600</wp:posOffset>
              </wp:positionV>
              <wp:extent cx="2609850" cy="369570"/>
              <wp:effectExtent l="0" t="0" r="0" b="0"/>
              <wp:wrapSquare wrapText="bothSides" distT="0" distB="0" distL="114300" distR="114300"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0600" y="3604740"/>
                        <a:ext cx="2590800" cy="350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90800" h="350520" extrusionOk="0">
                            <a:moveTo>
                              <a:pt x="0" y="0"/>
                            </a:moveTo>
                            <a:lnTo>
                              <a:pt x="0" y="350520"/>
                            </a:lnTo>
                            <a:lnTo>
                              <a:pt x="2590800" y="350520"/>
                            </a:lnTo>
                            <a:lnTo>
                              <a:pt x="2590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47BE" w:rsidRDefault="00283B0E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16"/>
                            </w:rPr>
                            <w:t xml:space="preserve">Avda. Medina Olmos, 64  18500 Guadix (Granada)                                           </w:t>
                          </w:r>
                        </w:p>
                        <w:p w:rsidR="004647BE" w:rsidRDefault="00283B0E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16"/>
                            </w:rPr>
                            <w:t>Telf.: 958699574-74  Corp.: 195573-74  Fax.: 958661680</w:t>
                          </w:r>
                        </w:p>
                        <w:p w:rsidR="004647BE" w:rsidRDefault="00283B0E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16"/>
                            </w:rPr>
                            <w:t>Web: www.cepguadix.es Correo-e: cepgr3.ced@juntadeandalucia.es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bre: forma 1" o:spid="_x0000_s1026" style="position:absolute;left:0;text-align:left;margin-left:286pt;margin-top:8pt;width:205.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080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" adj="-11796480,,5400" path="m,l,350520r2590800,l2590800,,,xe" filled="f" stroked="f">
              <v:stroke joinstyle="miter"/>
              <v:formulas/>
              <v:path arrowok="t" o:extrusionok="f" o:connecttype="custom" textboxrect="0,0,2590800,350520"/>
              <v:textbox inset="7pt,3pt,7pt,3pt">
                <w:txbxContent>
                  <w:p w:rsidR="004647BE" w:rsidRDefault="00283B0E">
                    <w:pPr>
                      <w:textDirection w:val="btLr"/>
                    </w:pPr>
                    <w:r>
                      <w:rPr>
                        <w:rFonts w:ascii="Liberation Sans" w:eastAsia="Liberation Sans" w:hAnsi="Liberation Sans" w:cs="Liberation Sans"/>
                        <w:color w:val="000000"/>
                        <w:sz w:val="16"/>
                      </w:rPr>
                      <w:t xml:space="preserve">Avda. Medina Olmos, 64  18500 Guadix (Granada)                                           </w:t>
                    </w:r>
                  </w:p>
                  <w:p w:rsidR="004647BE" w:rsidRDefault="00283B0E">
                    <w:pPr>
                      <w:textDirection w:val="btLr"/>
                    </w:pPr>
                    <w:r>
                      <w:rPr>
                        <w:rFonts w:ascii="Liberation Sans" w:eastAsia="Liberation Sans" w:hAnsi="Liberation Sans" w:cs="Liberation Sans"/>
                        <w:color w:val="000000"/>
                        <w:sz w:val="16"/>
                      </w:rPr>
                      <w:t>Telf.: 958699574-74  Corp.: 195573-74  Fax.: 958661680</w:t>
                    </w:r>
                  </w:p>
                  <w:p w:rsidR="004647BE" w:rsidRDefault="00283B0E">
                    <w:pPr>
                      <w:textDirection w:val="btLr"/>
                    </w:pPr>
                    <w:r>
                      <w:rPr>
                        <w:rFonts w:ascii="Liberation Sans" w:eastAsia="Liberation Sans" w:hAnsi="Liberation Sans" w:cs="Liberation Sans"/>
                        <w:color w:val="000000"/>
                        <w:sz w:val="16"/>
                      </w:rPr>
                      <w:t>Web: www.cepguadix.es Correo-e: cepgr3.ced@juntadeandalucia.es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8F" w:rsidRDefault="00213D8F">
      <w:r>
        <w:separator/>
      </w:r>
    </w:p>
  </w:footnote>
  <w:footnote w:type="continuationSeparator" w:id="0">
    <w:p w:rsidR="00213D8F" w:rsidRDefault="0021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BE" w:rsidRDefault="00283B0E">
    <w:pPr>
      <w:keepLines/>
      <w:pBdr>
        <w:top w:val="nil"/>
        <w:left w:val="nil"/>
        <w:bottom w:val="nil"/>
        <w:right w:val="nil"/>
        <w:between w:val="nil"/>
      </w:pBdr>
      <w:rPr>
        <w:rFonts w:ascii="Eras Md BT" w:eastAsia="Eras Md BT" w:hAnsi="Eras Md BT" w:cs="Eras Md BT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4032359</wp:posOffset>
          </wp:positionH>
          <wp:positionV relativeFrom="paragraph">
            <wp:posOffset>-183598</wp:posOffset>
          </wp:positionV>
          <wp:extent cx="1729080" cy="4478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44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-22318</wp:posOffset>
          </wp:positionH>
          <wp:positionV relativeFrom="paragraph">
            <wp:posOffset>-11518</wp:posOffset>
          </wp:positionV>
          <wp:extent cx="1886040" cy="23292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0" cy="23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47BE" w:rsidRDefault="004647BE">
    <w:pPr>
      <w:keepLines/>
      <w:pBdr>
        <w:top w:val="nil"/>
        <w:left w:val="nil"/>
        <w:bottom w:val="nil"/>
        <w:right w:val="nil"/>
        <w:between w:val="nil"/>
      </w:pBdr>
      <w:rPr>
        <w:rFonts w:ascii="Eras Md BT" w:eastAsia="Eras Md BT" w:hAnsi="Eras Md BT" w:cs="Eras Md BT"/>
        <w:color w:val="000000"/>
        <w:sz w:val="18"/>
        <w:szCs w:val="18"/>
      </w:rPr>
    </w:pPr>
  </w:p>
  <w:p w:rsidR="004647BE" w:rsidRDefault="004647BE">
    <w:pPr>
      <w:keepLines/>
      <w:pBdr>
        <w:top w:val="nil"/>
        <w:left w:val="nil"/>
        <w:bottom w:val="nil"/>
        <w:right w:val="nil"/>
        <w:between w:val="nil"/>
      </w:pBdr>
      <w:rPr>
        <w:rFonts w:ascii="Eras Md BT" w:eastAsia="Eras Md BT" w:hAnsi="Eras Md BT" w:cs="Eras Md B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B9A"/>
    <w:multiLevelType w:val="multilevel"/>
    <w:tmpl w:val="84402650"/>
    <w:lvl w:ilvl="0">
      <w:start w:val="1"/>
      <w:numFmt w:val="bullet"/>
      <w:lvlText w:val=""/>
      <w:lvlJc w:val="left"/>
      <w:pPr>
        <w:ind w:left="397" w:firstLine="0"/>
      </w:pPr>
      <w:rPr>
        <w:rFonts w:ascii="Wingdings" w:hAnsi="Wingdings" w:hint="default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397" w:firstLine="0"/>
      </w:pPr>
    </w:lvl>
    <w:lvl w:ilvl="2">
      <w:start w:val="1"/>
      <w:numFmt w:val="bullet"/>
      <w:lvlText w:val=""/>
      <w:lvlJc w:val="left"/>
      <w:pPr>
        <w:ind w:left="397" w:firstLine="0"/>
      </w:pPr>
    </w:lvl>
    <w:lvl w:ilvl="3">
      <w:start w:val="1"/>
      <w:numFmt w:val="bullet"/>
      <w:lvlText w:val=""/>
      <w:lvlJc w:val="left"/>
      <w:pPr>
        <w:ind w:left="397" w:firstLine="0"/>
      </w:pPr>
    </w:lvl>
    <w:lvl w:ilvl="4">
      <w:start w:val="1"/>
      <w:numFmt w:val="bullet"/>
      <w:lvlText w:val=""/>
      <w:lvlJc w:val="left"/>
      <w:pPr>
        <w:ind w:left="397" w:firstLine="0"/>
      </w:pPr>
    </w:lvl>
    <w:lvl w:ilvl="5">
      <w:start w:val="1"/>
      <w:numFmt w:val="bullet"/>
      <w:lvlText w:val=""/>
      <w:lvlJc w:val="left"/>
      <w:pPr>
        <w:ind w:left="397" w:firstLine="0"/>
      </w:pPr>
    </w:lvl>
    <w:lvl w:ilvl="6">
      <w:start w:val="1"/>
      <w:numFmt w:val="bullet"/>
      <w:lvlText w:val=""/>
      <w:lvlJc w:val="left"/>
      <w:pPr>
        <w:ind w:left="397" w:firstLine="0"/>
      </w:pPr>
    </w:lvl>
    <w:lvl w:ilvl="7">
      <w:start w:val="1"/>
      <w:numFmt w:val="bullet"/>
      <w:lvlText w:val=""/>
      <w:lvlJc w:val="left"/>
      <w:pPr>
        <w:ind w:left="397" w:firstLine="0"/>
      </w:pPr>
    </w:lvl>
    <w:lvl w:ilvl="8">
      <w:start w:val="1"/>
      <w:numFmt w:val="bullet"/>
      <w:lvlText w:val=""/>
      <w:lvlJc w:val="left"/>
      <w:pPr>
        <w:ind w:left="397" w:firstLine="0"/>
      </w:pPr>
    </w:lvl>
  </w:abstractNum>
  <w:abstractNum w:abstractNumId="1">
    <w:nsid w:val="141D548E"/>
    <w:multiLevelType w:val="hybridMultilevel"/>
    <w:tmpl w:val="47947264"/>
    <w:lvl w:ilvl="0" w:tplc="0C0A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677097E"/>
    <w:multiLevelType w:val="hybridMultilevel"/>
    <w:tmpl w:val="E904C094"/>
    <w:lvl w:ilvl="0" w:tplc="1B62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D79B9"/>
    <w:multiLevelType w:val="multilevel"/>
    <w:tmpl w:val="0EF2A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5958FE"/>
    <w:multiLevelType w:val="hybridMultilevel"/>
    <w:tmpl w:val="E904C094"/>
    <w:lvl w:ilvl="0" w:tplc="1B62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128BE"/>
    <w:multiLevelType w:val="multilevel"/>
    <w:tmpl w:val="68DC2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56D6092"/>
    <w:multiLevelType w:val="hybridMultilevel"/>
    <w:tmpl w:val="E904C094"/>
    <w:lvl w:ilvl="0" w:tplc="1B62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66EC2"/>
    <w:multiLevelType w:val="multilevel"/>
    <w:tmpl w:val="A784E9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8A421C5"/>
    <w:multiLevelType w:val="multilevel"/>
    <w:tmpl w:val="928C9B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CE04C9"/>
    <w:multiLevelType w:val="hybridMultilevel"/>
    <w:tmpl w:val="E904C094"/>
    <w:lvl w:ilvl="0" w:tplc="1B62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DD3D34"/>
    <w:multiLevelType w:val="multilevel"/>
    <w:tmpl w:val="780AB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E6031"/>
    <w:multiLevelType w:val="hybridMultilevel"/>
    <w:tmpl w:val="E904C094"/>
    <w:lvl w:ilvl="0" w:tplc="1B62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E"/>
    <w:rsid w:val="00065E96"/>
    <w:rsid w:val="000D157C"/>
    <w:rsid w:val="001D0DD0"/>
    <w:rsid w:val="001D425C"/>
    <w:rsid w:val="00213D8F"/>
    <w:rsid w:val="00283B0E"/>
    <w:rsid w:val="003C4617"/>
    <w:rsid w:val="003C6D17"/>
    <w:rsid w:val="004421C3"/>
    <w:rsid w:val="004647BE"/>
    <w:rsid w:val="00471AA7"/>
    <w:rsid w:val="00502859"/>
    <w:rsid w:val="005938E1"/>
    <w:rsid w:val="00675770"/>
    <w:rsid w:val="006A4EC3"/>
    <w:rsid w:val="008A298F"/>
    <w:rsid w:val="009061AE"/>
    <w:rsid w:val="00A245D7"/>
    <w:rsid w:val="00B37CD9"/>
    <w:rsid w:val="00D02631"/>
    <w:rsid w:val="00D178A0"/>
    <w:rsid w:val="00D3721D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4E8E-1F72-42C3-8629-3885594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532" w:lineRule="auto"/>
      <w:ind w:left="840" w:right="-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line="532" w:lineRule="auto"/>
      <w:ind w:left="840" w:right="-240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line="532" w:lineRule="auto"/>
      <w:ind w:left="840" w:right="-240"/>
      <w:outlineLvl w:val="2"/>
    </w:pPr>
    <w:rPr>
      <w:rFonts w:ascii="Arial" w:eastAsia="Arial" w:hAnsi="Arial" w:cs="Arial"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line="532" w:lineRule="auto"/>
      <w:ind w:left="840" w:right="-24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line="532" w:lineRule="auto"/>
      <w:ind w:left="840" w:right="-240"/>
      <w:outlineLvl w:val="4"/>
    </w:pPr>
    <w:rPr>
      <w:b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2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4E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Ángeles Tauste</dc:creator>
  <cp:lastModifiedBy>Usuario de Windows</cp:lastModifiedBy>
  <cp:revision>9</cp:revision>
  <cp:lastPrinted>2019-11-19T17:24:00Z</cp:lastPrinted>
  <dcterms:created xsi:type="dcterms:W3CDTF">2019-11-09T20:29:00Z</dcterms:created>
  <dcterms:modified xsi:type="dcterms:W3CDTF">2019-11-19T19:26:00Z</dcterms:modified>
</cp:coreProperties>
</file>