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6A" w:rsidRPr="002E5F92" w:rsidRDefault="00196C6A" w:rsidP="00196C6A">
      <w:pPr>
        <w:rPr>
          <w:rFonts w:asciiTheme="minorHAnsi" w:hAnsiTheme="minorHAnsi" w:cstheme="minorHAnsi"/>
          <w:szCs w:val="24"/>
        </w:rPr>
      </w:pPr>
      <w:r w:rsidRPr="002E5F92">
        <w:rPr>
          <w:rFonts w:asciiTheme="minorHAnsi" w:hAnsiTheme="minorHAnsi" w:cstheme="minorHAnsi"/>
          <w:b/>
          <w:szCs w:val="24"/>
        </w:rPr>
        <w:t>MEMORIA DE SEGUIMIENTO DEL GRUPO DE TRABAJO:</w:t>
      </w:r>
      <w:r w:rsidR="002E5F92">
        <w:rPr>
          <w:rFonts w:asciiTheme="minorHAnsi" w:hAnsiTheme="minorHAnsi" w:cstheme="minorHAnsi"/>
          <w:b/>
          <w:szCs w:val="24"/>
        </w:rPr>
        <w:t xml:space="preserve"> </w:t>
      </w:r>
      <w:r w:rsidR="009E4F34" w:rsidRPr="002E5F92">
        <w:rPr>
          <w:rFonts w:asciiTheme="minorHAnsi" w:hAnsiTheme="minorHAnsi" w:cstheme="minorHAnsi"/>
          <w:szCs w:val="24"/>
        </w:rPr>
        <w:t>Análisis de las salidas profesionales del Escenógrafo.</w:t>
      </w:r>
    </w:p>
    <w:p w:rsidR="00196C6A" w:rsidRPr="002E5F92" w:rsidRDefault="00196C6A" w:rsidP="00196C6A">
      <w:pPr>
        <w:rPr>
          <w:rFonts w:asciiTheme="minorHAnsi" w:hAnsiTheme="minorHAnsi" w:cstheme="minorHAnsi"/>
          <w:b/>
          <w:szCs w:val="24"/>
        </w:rPr>
      </w:pPr>
    </w:p>
    <w:p w:rsidR="00196C6A" w:rsidRPr="002E5F92" w:rsidRDefault="00196C6A" w:rsidP="00196C6A">
      <w:pPr>
        <w:rPr>
          <w:rFonts w:asciiTheme="minorHAnsi" w:hAnsiTheme="minorHAnsi" w:cstheme="minorHAnsi"/>
          <w:b/>
          <w:szCs w:val="24"/>
        </w:rPr>
      </w:pPr>
      <w:r w:rsidRPr="002E5F92">
        <w:rPr>
          <w:rFonts w:asciiTheme="minorHAnsi" w:hAnsiTheme="minorHAnsi" w:cstheme="minorHAnsi"/>
          <w:b/>
          <w:szCs w:val="24"/>
        </w:rPr>
        <w:t>Resumen general del trabajo desarrollado por el grupo de trabajo a lo largo del primer trimestre.</w:t>
      </w:r>
    </w:p>
    <w:p w:rsidR="009E4F34" w:rsidRPr="002E5F92" w:rsidRDefault="00196C6A" w:rsidP="00196C6A">
      <w:pPr>
        <w:rPr>
          <w:rFonts w:asciiTheme="minorHAnsi" w:hAnsiTheme="minorHAnsi" w:cstheme="minorHAnsi"/>
          <w:szCs w:val="24"/>
        </w:rPr>
      </w:pPr>
      <w:r w:rsidRPr="002E5F92">
        <w:rPr>
          <w:rFonts w:asciiTheme="minorHAnsi" w:hAnsiTheme="minorHAnsi" w:cstheme="minorHAnsi"/>
          <w:szCs w:val="24"/>
        </w:rPr>
        <w:t xml:space="preserve">Hasta la fecha (marzo de 2016) las labores del G.T. se han centrado en </w:t>
      </w:r>
      <w:r w:rsidR="009E4F34" w:rsidRPr="002E5F92">
        <w:rPr>
          <w:rFonts w:asciiTheme="minorHAnsi" w:hAnsiTheme="minorHAnsi" w:cstheme="minorHAnsi"/>
          <w:szCs w:val="24"/>
        </w:rPr>
        <w:t xml:space="preserve">la búsqueda y análisis de una bibliografía exhaustiva que oriente y asesore en posibles fuentes profesionales alternativas para el estudiante de Escenografía, más allá del ámbito teatral. En esta investigación la principal dificultad ha estribado en separar las fuentes escritas y gráficas de ámbito exclusivamente académico de aquellas que puedan acercar y orientar a la inserción laboral alternativa del mundo del teatro. Se han encontrado manuales desde la Consejería de Empleo y el Ministerio de Trabajo, que han servido de marco de referencia mínimo, pero no así una bibliografía específica desde el punto de vista </w:t>
      </w:r>
      <w:r w:rsidR="00863146" w:rsidRPr="002E5F92">
        <w:rPr>
          <w:rFonts w:asciiTheme="minorHAnsi" w:hAnsiTheme="minorHAnsi" w:cstheme="minorHAnsi"/>
          <w:szCs w:val="24"/>
        </w:rPr>
        <w:t>empresarial y/o profesional.</w:t>
      </w:r>
    </w:p>
    <w:p w:rsidR="009E4F34" w:rsidRPr="002E5F92" w:rsidRDefault="009E4F34" w:rsidP="00196C6A">
      <w:pPr>
        <w:rPr>
          <w:rFonts w:asciiTheme="minorHAnsi" w:hAnsiTheme="minorHAnsi" w:cstheme="minorHAnsi"/>
          <w:szCs w:val="24"/>
        </w:rPr>
      </w:pPr>
      <w:r w:rsidRPr="002E5F92">
        <w:rPr>
          <w:rFonts w:asciiTheme="minorHAnsi" w:hAnsiTheme="minorHAnsi" w:cstheme="minorHAnsi"/>
          <w:szCs w:val="24"/>
        </w:rPr>
        <w:t>Se ha realizado un barrido por contacto directo (vía telefónica, incluso personal) o indirecto (a través de correos electrónicos) para conocer de primera mano el seguimiento del alumnado egresado de la E.S.A.D. y su situación laboral actual.</w:t>
      </w:r>
      <w:r w:rsidR="00863146" w:rsidRPr="002E5F92">
        <w:rPr>
          <w:rFonts w:asciiTheme="minorHAnsi" w:hAnsiTheme="minorHAnsi" w:cstheme="minorHAnsi"/>
          <w:szCs w:val="24"/>
        </w:rPr>
        <w:t xml:space="preserve"> Se mantiene la línea de conexión con ellos ya que muchos aún mantienen la relación académica con la escuela. También se atiende al seguimiento del alumnado a través de las prácticas externas, asignatura establecida en los centros de EE.AA.SS. desde la implantación del modelo educativo según la Declaración de Bolonia y el Espacio de Educación Europeo.</w:t>
      </w:r>
    </w:p>
    <w:p w:rsidR="009E4F34" w:rsidRPr="002E5F92" w:rsidRDefault="009E4F34" w:rsidP="00863146">
      <w:pPr>
        <w:rPr>
          <w:rFonts w:asciiTheme="minorHAnsi" w:hAnsiTheme="minorHAnsi" w:cstheme="minorHAnsi"/>
          <w:szCs w:val="24"/>
        </w:rPr>
      </w:pPr>
      <w:r w:rsidRPr="002E5F92">
        <w:rPr>
          <w:rFonts w:asciiTheme="minorHAnsi" w:hAnsiTheme="minorHAnsi" w:cstheme="minorHAnsi"/>
          <w:szCs w:val="24"/>
        </w:rPr>
        <w:t>También se ha llevado a cabo la conexión con posibles invitados/as a las II Jornadas de Escenografía que plasmarán en un sentido práctico y académico los objetivos marcados desde el G.T. Hasta la fecha, queda por confirmar realmente los días de las jornadas (23 y 24 de mayo), así como la participación de alguno de los invitados a las mesas redondas.</w:t>
      </w:r>
    </w:p>
    <w:p w:rsidR="00196C6A" w:rsidRPr="002E5F92" w:rsidRDefault="00196C6A" w:rsidP="00196C6A">
      <w:pPr>
        <w:rPr>
          <w:rFonts w:asciiTheme="minorHAnsi" w:hAnsiTheme="minorHAnsi" w:cstheme="minorHAnsi"/>
          <w:szCs w:val="24"/>
        </w:rPr>
      </w:pPr>
      <w:r w:rsidRPr="002E5F92">
        <w:rPr>
          <w:rFonts w:asciiTheme="minorHAnsi" w:hAnsiTheme="minorHAnsi" w:cstheme="minorHAnsi"/>
          <w:szCs w:val="24"/>
        </w:rPr>
        <w:t>En el trabajo virtu</w:t>
      </w:r>
      <w:r w:rsidR="00863146" w:rsidRPr="002E5F92">
        <w:rPr>
          <w:rFonts w:asciiTheme="minorHAnsi" w:hAnsiTheme="minorHAnsi" w:cstheme="minorHAnsi"/>
          <w:szCs w:val="24"/>
        </w:rPr>
        <w:t>al, se han subido a Colabor@ algunos</w:t>
      </w:r>
      <w:r w:rsidRPr="002E5F92">
        <w:rPr>
          <w:rFonts w:asciiTheme="minorHAnsi" w:hAnsiTheme="minorHAnsi" w:cstheme="minorHAnsi"/>
          <w:szCs w:val="24"/>
        </w:rPr>
        <w:t xml:space="preserve"> documentos trabajados y se han abierto diversos hilos de discusión relacionados con las materias y reuniones mantenidas en el G.T.</w:t>
      </w:r>
      <w:r w:rsidR="00863146" w:rsidRPr="002E5F92">
        <w:rPr>
          <w:rFonts w:asciiTheme="minorHAnsi" w:hAnsiTheme="minorHAnsi" w:cstheme="minorHAnsi"/>
          <w:szCs w:val="24"/>
        </w:rPr>
        <w:t xml:space="preserve"> Pero es cierto que no son todas las actividades programadas en el proyecto ni en la plataforma virtual, siendo esta fase la menos desarrollada de las llevadas a cabo.</w:t>
      </w:r>
    </w:p>
    <w:p w:rsidR="00863146" w:rsidRPr="002E5F92" w:rsidRDefault="00863146" w:rsidP="00196C6A">
      <w:pPr>
        <w:rPr>
          <w:rFonts w:asciiTheme="minorHAnsi" w:hAnsiTheme="minorHAnsi" w:cstheme="minorHAnsi"/>
          <w:szCs w:val="24"/>
        </w:rPr>
      </w:pPr>
    </w:p>
    <w:p w:rsidR="00196C6A" w:rsidRPr="002E5F92" w:rsidRDefault="00196C6A" w:rsidP="00196C6A">
      <w:pPr>
        <w:rPr>
          <w:rFonts w:asciiTheme="minorHAnsi" w:hAnsiTheme="minorHAnsi" w:cstheme="minorHAnsi"/>
          <w:b/>
          <w:szCs w:val="24"/>
        </w:rPr>
      </w:pPr>
    </w:p>
    <w:p w:rsidR="00196C6A" w:rsidRPr="002E5F92" w:rsidRDefault="00196C6A" w:rsidP="00196C6A">
      <w:pPr>
        <w:rPr>
          <w:rFonts w:asciiTheme="minorHAnsi" w:hAnsiTheme="minorHAnsi" w:cstheme="minorHAnsi"/>
          <w:b/>
          <w:szCs w:val="24"/>
        </w:rPr>
      </w:pPr>
      <w:r w:rsidRPr="002E5F92">
        <w:rPr>
          <w:rFonts w:asciiTheme="minorHAnsi" w:hAnsiTheme="minorHAnsi" w:cstheme="minorHAnsi"/>
          <w:b/>
          <w:szCs w:val="24"/>
        </w:rPr>
        <w:t>Coordinación con asesoramiento externo.</w:t>
      </w:r>
    </w:p>
    <w:p w:rsidR="00196C6A" w:rsidRPr="002E5F92" w:rsidRDefault="00196C6A" w:rsidP="00196C6A">
      <w:pPr>
        <w:rPr>
          <w:rFonts w:asciiTheme="minorHAnsi" w:hAnsiTheme="minorHAnsi" w:cstheme="minorHAnsi"/>
          <w:szCs w:val="24"/>
        </w:rPr>
      </w:pPr>
      <w:r w:rsidRPr="002E5F92">
        <w:rPr>
          <w:rFonts w:asciiTheme="minorHAnsi" w:hAnsiTheme="minorHAnsi" w:cstheme="minorHAnsi"/>
          <w:szCs w:val="24"/>
        </w:rPr>
        <w:t>Desde un principio se ha contado con la ayuda de Victoria Querejeta, coordinadora nombrada desde el C.E.P. de Sevilla para ayudar al G.T. en la elaboración tanto del proyecto como de las actuaciones a llevar a cabo.</w:t>
      </w:r>
    </w:p>
    <w:p w:rsidR="00196C6A" w:rsidRPr="002E5F92" w:rsidRDefault="00196C6A" w:rsidP="00196C6A">
      <w:pPr>
        <w:rPr>
          <w:rFonts w:asciiTheme="minorHAnsi" w:hAnsiTheme="minorHAnsi" w:cstheme="minorHAnsi"/>
          <w:b/>
          <w:szCs w:val="24"/>
        </w:rPr>
      </w:pPr>
    </w:p>
    <w:p w:rsidR="00196C6A" w:rsidRPr="002E5F92" w:rsidRDefault="00196C6A" w:rsidP="00196C6A">
      <w:pPr>
        <w:rPr>
          <w:rFonts w:asciiTheme="minorHAnsi" w:hAnsiTheme="minorHAnsi" w:cstheme="minorHAnsi"/>
          <w:b/>
          <w:szCs w:val="24"/>
        </w:rPr>
      </w:pPr>
    </w:p>
    <w:p w:rsidR="00196C6A" w:rsidRPr="002E5F92" w:rsidRDefault="00196C6A" w:rsidP="00196C6A">
      <w:pPr>
        <w:rPr>
          <w:rFonts w:asciiTheme="minorHAnsi" w:hAnsiTheme="minorHAnsi" w:cstheme="minorHAnsi"/>
          <w:b/>
          <w:szCs w:val="24"/>
        </w:rPr>
      </w:pPr>
      <w:r w:rsidRPr="002E5F92">
        <w:rPr>
          <w:rFonts w:asciiTheme="minorHAnsi" w:hAnsiTheme="minorHAnsi" w:cstheme="minorHAnsi"/>
          <w:b/>
          <w:szCs w:val="24"/>
        </w:rPr>
        <w:t>Grado de consecución hasta el momento de los objetivos previstos en el proyecto</w:t>
      </w:r>
    </w:p>
    <w:p w:rsidR="00863146" w:rsidRPr="002E5F92" w:rsidRDefault="00863146" w:rsidP="00863146">
      <w:pPr>
        <w:rPr>
          <w:rFonts w:asciiTheme="minorHAnsi" w:hAnsiTheme="minorHAnsi" w:cstheme="minorHAnsi"/>
          <w:szCs w:val="24"/>
        </w:rPr>
      </w:pPr>
      <w:r w:rsidRPr="002E5F92">
        <w:rPr>
          <w:rFonts w:asciiTheme="minorHAnsi" w:hAnsiTheme="minorHAnsi" w:cstheme="minorHAnsi"/>
          <w:szCs w:val="24"/>
        </w:rPr>
        <w:t>Hasta la fecha es posible afirmar que el Grupo de Trabajo ha ido realizando las actividades encomendadas al inicio del proyecto. En consecuencia, gran parte de los objetivos primarios se han cumplido, siendo el grado de consecución muy satisfactorio.</w:t>
      </w:r>
    </w:p>
    <w:p w:rsidR="00863146" w:rsidRPr="002E5F92" w:rsidRDefault="00863146" w:rsidP="00863146">
      <w:pPr>
        <w:rPr>
          <w:rFonts w:asciiTheme="minorHAnsi" w:hAnsiTheme="minorHAnsi" w:cstheme="minorHAnsi"/>
          <w:szCs w:val="24"/>
        </w:rPr>
      </w:pPr>
      <w:r w:rsidRPr="002E5F92">
        <w:rPr>
          <w:rFonts w:asciiTheme="minorHAnsi" w:hAnsiTheme="minorHAnsi" w:cstheme="minorHAnsi"/>
          <w:szCs w:val="24"/>
        </w:rPr>
        <w:t xml:space="preserve">Caso diferente está siendo su análisis y publicación a través de la plataforma Colabor@, dado el escaso margen de tiempo con el que los miembros del Grupo están contando en estos momentos. Es decir, los objetivos y sus actividades correspondientes se están realizando en un porcentaje en torno al 75 – 80% según la calendarización prevista, mientras que la subida de los documentos para su visión por otros grupos se ha ralentizado, lo que supone el porcentaje restante del cumplimiento del proyecto. </w:t>
      </w:r>
    </w:p>
    <w:p w:rsidR="00196C6A" w:rsidRPr="002E5F92" w:rsidRDefault="00196C6A" w:rsidP="00863146">
      <w:pPr>
        <w:ind w:firstLine="0"/>
        <w:rPr>
          <w:rFonts w:asciiTheme="minorHAnsi" w:hAnsiTheme="minorHAnsi" w:cstheme="minorHAnsi"/>
          <w:szCs w:val="24"/>
        </w:rPr>
      </w:pPr>
    </w:p>
    <w:p w:rsidR="00863146" w:rsidRPr="002E5F92" w:rsidRDefault="00863146" w:rsidP="00863146">
      <w:pPr>
        <w:ind w:firstLine="0"/>
        <w:rPr>
          <w:rFonts w:asciiTheme="minorHAnsi" w:hAnsiTheme="minorHAnsi" w:cstheme="minorHAnsi"/>
          <w:szCs w:val="24"/>
        </w:rPr>
      </w:pPr>
    </w:p>
    <w:p w:rsidR="00196C6A" w:rsidRPr="002E5F92" w:rsidRDefault="00196C6A" w:rsidP="00863146">
      <w:pPr>
        <w:rPr>
          <w:rFonts w:asciiTheme="minorHAnsi" w:hAnsiTheme="minorHAnsi" w:cstheme="minorHAnsi"/>
          <w:b/>
          <w:szCs w:val="24"/>
        </w:rPr>
      </w:pPr>
      <w:r w:rsidRPr="002E5F92">
        <w:rPr>
          <w:rFonts w:asciiTheme="minorHAnsi" w:hAnsiTheme="minorHAnsi" w:cstheme="minorHAnsi"/>
          <w:b/>
          <w:szCs w:val="24"/>
        </w:rPr>
        <w:t>Relación de materiales elaborados que ya hayan sido colocados en Colabora</w:t>
      </w:r>
    </w:p>
    <w:p w:rsidR="00BA2607" w:rsidRPr="002E5F92" w:rsidRDefault="00863146" w:rsidP="00BA2607">
      <w:pPr>
        <w:pStyle w:val="Prrafodelista"/>
        <w:numPr>
          <w:ilvl w:val="0"/>
          <w:numId w:val="1"/>
        </w:numPr>
        <w:rPr>
          <w:rFonts w:asciiTheme="minorHAnsi" w:hAnsiTheme="minorHAnsi" w:cstheme="minorHAnsi"/>
          <w:szCs w:val="24"/>
        </w:rPr>
      </w:pPr>
      <w:r w:rsidRPr="002E5F92">
        <w:rPr>
          <w:rFonts w:asciiTheme="minorHAnsi" w:hAnsiTheme="minorHAnsi" w:cstheme="minorHAnsi"/>
          <w:szCs w:val="24"/>
        </w:rPr>
        <w:t>Subida de material bibliográfico y consulta desde las Administraciones autonómica y estatal.</w:t>
      </w:r>
    </w:p>
    <w:p w:rsidR="00196C6A" w:rsidRPr="002E5F92" w:rsidRDefault="00196C6A" w:rsidP="00BA2607">
      <w:pPr>
        <w:pStyle w:val="Prrafodelista"/>
        <w:numPr>
          <w:ilvl w:val="0"/>
          <w:numId w:val="1"/>
        </w:numPr>
        <w:rPr>
          <w:rFonts w:asciiTheme="minorHAnsi" w:hAnsiTheme="minorHAnsi" w:cstheme="minorHAnsi"/>
          <w:szCs w:val="24"/>
        </w:rPr>
      </w:pPr>
      <w:r w:rsidRPr="002E5F92">
        <w:rPr>
          <w:rFonts w:asciiTheme="minorHAnsi" w:hAnsiTheme="minorHAnsi" w:cstheme="minorHAnsi"/>
          <w:szCs w:val="24"/>
        </w:rPr>
        <w:t>Participación directa de los diversos miembros del G.T. en los hilos del foro de Colabor@.</w:t>
      </w:r>
    </w:p>
    <w:p w:rsidR="00BA2607" w:rsidRPr="002E5F92" w:rsidRDefault="00BA2607" w:rsidP="00BA2607">
      <w:pPr>
        <w:pStyle w:val="Prrafodelista"/>
        <w:ind w:firstLine="0"/>
        <w:rPr>
          <w:rFonts w:asciiTheme="minorHAnsi" w:hAnsiTheme="minorHAnsi" w:cstheme="minorHAnsi"/>
          <w:b/>
          <w:szCs w:val="24"/>
        </w:rPr>
      </w:pPr>
    </w:p>
    <w:p w:rsidR="00BA2607" w:rsidRPr="002E5F92" w:rsidRDefault="00BA2607" w:rsidP="00BA2607">
      <w:pPr>
        <w:pStyle w:val="Prrafodelista"/>
        <w:ind w:firstLine="0"/>
        <w:rPr>
          <w:rFonts w:asciiTheme="minorHAnsi" w:hAnsiTheme="minorHAnsi" w:cstheme="minorHAnsi"/>
          <w:szCs w:val="24"/>
        </w:rPr>
      </w:pPr>
      <w:r w:rsidRPr="002E5F92">
        <w:rPr>
          <w:rFonts w:asciiTheme="minorHAnsi" w:hAnsiTheme="minorHAnsi" w:cstheme="minorHAnsi"/>
          <w:b/>
          <w:szCs w:val="24"/>
        </w:rPr>
        <w:t xml:space="preserve">Relación de materiales elaborados que no han sido colocados en Colabora </w:t>
      </w:r>
      <w:r w:rsidRPr="002E5F92">
        <w:rPr>
          <w:rFonts w:asciiTheme="minorHAnsi" w:hAnsiTheme="minorHAnsi" w:cstheme="minorHAnsi"/>
          <w:szCs w:val="24"/>
        </w:rPr>
        <w:t>(debido a la falta de tiempo por parte de los miembros del G.T.)</w:t>
      </w:r>
    </w:p>
    <w:p w:rsidR="00BA2607" w:rsidRPr="002E5F92" w:rsidRDefault="00BA2607" w:rsidP="00BA2607">
      <w:pPr>
        <w:pStyle w:val="Prrafodelista"/>
        <w:numPr>
          <w:ilvl w:val="0"/>
          <w:numId w:val="6"/>
        </w:numPr>
        <w:rPr>
          <w:rFonts w:asciiTheme="minorHAnsi" w:hAnsiTheme="minorHAnsi" w:cstheme="minorHAnsi"/>
          <w:szCs w:val="24"/>
        </w:rPr>
      </w:pPr>
      <w:r w:rsidRPr="002E5F92">
        <w:rPr>
          <w:rFonts w:asciiTheme="minorHAnsi" w:hAnsiTheme="minorHAnsi" w:cstheme="minorHAnsi"/>
          <w:szCs w:val="24"/>
        </w:rPr>
        <w:t>Subida de los datos obtenidos por el seguimiento del alumnado egresado de la E.S.A.D. y su situación laboral actual</w:t>
      </w:r>
    </w:p>
    <w:p w:rsidR="00BA2607" w:rsidRPr="002E5F92" w:rsidRDefault="00BA2607" w:rsidP="00BA2607">
      <w:pPr>
        <w:pStyle w:val="Prrafodelista"/>
        <w:numPr>
          <w:ilvl w:val="0"/>
          <w:numId w:val="6"/>
        </w:numPr>
        <w:rPr>
          <w:rFonts w:asciiTheme="minorHAnsi" w:hAnsiTheme="minorHAnsi" w:cstheme="minorHAnsi"/>
          <w:szCs w:val="24"/>
        </w:rPr>
      </w:pPr>
      <w:r w:rsidRPr="002E5F92">
        <w:rPr>
          <w:rFonts w:asciiTheme="minorHAnsi" w:hAnsiTheme="minorHAnsi" w:cstheme="minorHAnsi"/>
          <w:szCs w:val="24"/>
        </w:rPr>
        <w:lastRenderedPageBreak/>
        <w:t xml:space="preserve">Subida del trabajo realizado hasta la fecha para la organización de las II jornadas de Escenografía que tratarán sobre el trabajo del escenógrafo y que incluye la </w:t>
      </w:r>
      <w:r w:rsidRPr="00BA2607">
        <w:rPr>
          <w:rFonts w:asciiTheme="minorHAnsi" w:eastAsia="Times New Roman" w:hAnsiTheme="minorHAnsi" w:cstheme="minorHAnsi"/>
          <w:color w:val="333333"/>
          <w:szCs w:val="24"/>
          <w:lang w:eastAsia="es-ES"/>
        </w:rPr>
        <w:t>Búsqueda de información relacionada con escenógrafos que desarrollen parte de su labor profesional fuera del ámbito teatral</w:t>
      </w:r>
    </w:p>
    <w:p w:rsidR="00BA2607" w:rsidRPr="002E5F92" w:rsidRDefault="00BA2607" w:rsidP="00BA2607">
      <w:pPr>
        <w:pStyle w:val="Prrafodelista"/>
        <w:numPr>
          <w:ilvl w:val="0"/>
          <w:numId w:val="6"/>
        </w:numPr>
        <w:rPr>
          <w:rFonts w:asciiTheme="minorHAnsi" w:hAnsiTheme="minorHAnsi" w:cstheme="minorHAnsi"/>
          <w:szCs w:val="24"/>
        </w:rPr>
      </w:pPr>
      <w:r w:rsidRPr="002E5F92">
        <w:rPr>
          <w:rFonts w:asciiTheme="minorHAnsi" w:hAnsiTheme="minorHAnsi" w:cstheme="minorHAnsi"/>
          <w:szCs w:val="24"/>
        </w:rPr>
        <w:t xml:space="preserve">Subida del </w:t>
      </w:r>
      <w:r w:rsidRPr="00BA2607">
        <w:rPr>
          <w:rFonts w:asciiTheme="minorHAnsi" w:eastAsia="Times New Roman" w:hAnsiTheme="minorHAnsi" w:cstheme="minorHAnsi"/>
          <w:color w:val="333333"/>
          <w:szCs w:val="24"/>
          <w:lang w:eastAsia="es-ES"/>
        </w:rPr>
        <w:t>Análisis de las carencias específicas en las diferentes materias</w:t>
      </w:r>
    </w:p>
    <w:p w:rsidR="002E5F92" w:rsidRPr="002E5F92" w:rsidRDefault="002E5F92" w:rsidP="00BA2607">
      <w:pPr>
        <w:pStyle w:val="Prrafodelista"/>
        <w:numPr>
          <w:ilvl w:val="0"/>
          <w:numId w:val="6"/>
        </w:numPr>
        <w:rPr>
          <w:rFonts w:asciiTheme="minorHAnsi" w:hAnsiTheme="minorHAnsi" w:cstheme="minorHAnsi"/>
          <w:szCs w:val="24"/>
        </w:rPr>
      </w:pPr>
      <w:r w:rsidRPr="002E5F92">
        <w:rPr>
          <w:rFonts w:asciiTheme="minorHAnsi" w:eastAsia="Times New Roman" w:hAnsiTheme="minorHAnsi" w:cstheme="minorHAnsi"/>
          <w:color w:val="333333"/>
          <w:szCs w:val="24"/>
          <w:lang w:eastAsia="es-ES"/>
        </w:rPr>
        <w:t>Apertura de foros de debate sobre lo investigado</w:t>
      </w:r>
    </w:p>
    <w:p w:rsidR="002E5F92" w:rsidRPr="002E5F92" w:rsidRDefault="002E5F92" w:rsidP="002E5F92">
      <w:pPr>
        <w:pStyle w:val="Prrafodelista"/>
        <w:ind w:firstLine="0"/>
        <w:rPr>
          <w:rFonts w:asciiTheme="minorHAnsi" w:hAnsiTheme="minorHAnsi" w:cstheme="minorHAnsi"/>
          <w:szCs w:val="24"/>
        </w:rPr>
      </w:pPr>
    </w:p>
    <w:p w:rsidR="00BA2607" w:rsidRPr="002E5F92" w:rsidRDefault="00BA2607" w:rsidP="00BA2607">
      <w:pPr>
        <w:pStyle w:val="Prrafodelista"/>
        <w:ind w:left="1080" w:firstLine="0"/>
        <w:rPr>
          <w:rFonts w:asciiTheme="minorHAnsi" w:hAnsiTheme="minorHAnsi" w:cstheme="minorHAnsi"/>
          <w:b/>
          <w:szCs w:val="24"/>
        </w:rPr>
      </w:pPr>
    </w:p>
    <w:p w:rsidR="00196C6A" w:rsidRPr="002E5F92" w:rsidRDefault="00196C6A" w:rsidP="00196C6A">
      <w:pPr>
        <w:rPr>
          <w:rFonts w:asciiTheme="minorHAnsi" w:hAnsiTheme="minorHAnsi" w:cstheme="minorHAnsi"/>
          <w:b/>
          <w:szCs w:val="24"/>
        </w:rPr>
      </w:pPr>
      <w:r w:rsidRPr="002E5F92">
        <w:rPr>
          <w:rFonts w:asciiTheme="minorHAnsi" w:hAnsiTheme="minorHAnsi" w:cstheme="minorHAnsi"/>
          <w:b/>
          <w:szCs w:val="24"/>
        </w:rPr>
        <w:t>Propuestas de trabajo previstas para el próximo trimestre</w:t>
      </w:r>
    </w:p>
    <w:p w:rsidR="00196C6A" w:rsidRPr="002E5F92" w:rsidRDefault="002E5F92" w:rsidP="003E0882">
      <w:pPr>
        <w:numPr>
          <w:ilvl w:val="0"/>
          <w:numId w:val="2"/>
        </w:numPr>
        <w:rPr>
          <w:rFonts w:asciiTheme="minorHAnsi" w:hAnsiTheme="minorHAnsi" w:cstheme="minorHAnsi"/>
          <w:szCs w:val="24"/>
        </w:rPr>
      </w:pPr>
      <w:r w:rsidRPr="002E5F92">
        <w:rPr>
          <w:rFonts w:asciiTheme="minorHAnsi" w:hAnsiTheme="minorHAnsi" w:cstheme="minorHAnsi"/>
          <w:szCs w:val="24"/>
        </w:rPr>
        <w:t>Además de subir toda la información obtenida en el trabajo realizado durante la primera mitad del curso</w:t>
      </w:r>
    </w:p>
    <w:p w:rsidR="002E5F92" w:rsidRPr="002E5F92" w:rsidRDefault="002E5F92" w:rsidP="003E0882">
      <w:pPr>
        <w:numPr>
          <w:ilvl w:val="0"/>
          <w:numId w:val="2"/>
        </w:numPr>
        <w:rPr>
          <w:rFonts w:asciiTheme="minorHAnsi" w:hAnsiTheme="minorHAnsi" w:cstheme="minorHAnsi"/>
          <w:szCs w:val="24"/>
        </w:rPr>
      </w:pPr>
      <w:r w:rsidRPr="002E5F92">
        <w:rPr>
          <w:rFonts w:asciiTheme="minorHAnsi" w:hAnsiTheme="minorHAnsi" w:cstheme="minorHAnsi"/>
          <w:szCs w:val="24"/>
        </w:rPr>
        <w:t>Llevar a cabo las Jornadas de Escenografía antes mencionadas</w:t>
      </w:r>
      <w:r>
        <w:rPr>
          <w:rFonts w:asciiTheme="minorHAnsi" w:hAnsiTheme="minorHAnsi" w:cstheme="minorHAnsi"/>
          <w:szCs w:val="24"/>
        </w:rPr>
        <w:t>.</w:t>
      </w:r>
    </w:p>
    <w:p w:rsidR="002E5F92" w:rsidRPr="002E5F92" w:rsidRDefault="002E5F92" w:rsidP="003E0882">
      <w:pPr>
        <w:numPr>
          <w:ilvl w:val="0"/>
          <w:numId w:val="2"/>
        </w:numPr>
        <w:rPr>
          <w:rFonts w:asciiTheme="minorHAnsi" w:hAnsiTheme="minorHAnsi" w:cstheme="minorHAnsi"/>
          <w:szCs w:val="24"/>
        </w:rPr>
      </w:pPr>
      <w:r w:rsidRPr="002E5F92">
        <w:rPr>
          <w:rFonts w:asciiTheme="minorHAnsi" w:hAnsiTheme="minorHAnsi" w:cstheme="minorHAnsi"/>
          <w:color w:val="333333"/>
          <w:szCs w:val="24"/>
          <w:shd w:val="clear" w:color="auto" w:fill="FFFFFF"/>
        </w:rPr>
        <w:t>Elaborar, editar y hacer pública desde la biblioteca de la escuela,  una documentación que recoja todo el material obtenido durante el año de investigación a fin de que los profesores dispongan de él como material didáctico.</w:t>
      </w:r>
    </w:p>
    <w:p w:rsidR="00196C6A" w:rsidRPr="002E5F92" w:rsidRDefault="00196C6A" w:rsidP="00196C6A">
      <w:pPr>
        <w:numPr>
          <w:ilvl w:val="0"/>
          <w:numId w:val="2"/>
        </w:numPr>
        <w:rPr>
          <w:rFonts w:asciiTheme="minorHAnsi" w:hAnsiTheme="minorHAnsi" w:cstheme="minorHAnsi"/>
          <w:szCs w:val="24"/>
        </w:rPr>
      </w:pPr>
      <w:r w:rsidRPr="002E5F92">
        <w:rPr>
          <w:rFonts w:asciiTheme="minorHAnsi" w:hAnsiTheme="minorHAnsi" w:cstheme="minorHAnsi"/>
          <w:szCs w:val="24"/>
        </w:rPr>
        <w:t>Elaboración memoria final del grupo de trabajo.</w:t>
      </w:r>
    </w:p>
    <w:p w:rsidR="00196C6A" w:rsidRPr="002E5F92" w:rsidRDefault="00196C6A" w:rsidP="003E0882">
      <w:pPr>
        <w:ind w:firstLine="0"/>
        <w:rPr>
          <w:rFonts w:asciiTheme="minorHAnsi" w:hAnsiTheme="minorHAnsi" w:cstheme="minorHAnsi"/>
          <w:szCs w:val="24"/>
        </w:rPr>
      </w:pPr>
    </w:p>
    <w:p w:rsidR="00196C6A" w:rsidRPr="002E5F92" w:rsidRDefault="00196C6A" w:rsidP="00196C6A">
      <w:pPr>
        <w:rPr>
          <w:rFonts w:asciiTheme="minorHAnsi" w:hAnsiTheme="minorHAnsi" w:cstheme="minorHAnsi"/>
          <w:szCs w:val="24"/>
        </w:rPr>
      </w:pPr>
    </w:p>
    <w:p w:rsidR="00196C6A" w:rsidRPr="002E5F92" w:rsidRDefault="00196C6A" w:rsidP="00196C6A">
      <w:pPr>
        <w:rPr>
          <w:rFonts w:asciiTheme="minorHAnsi" w:hAnsiTheme="minorHAnsi" w:cstheme="minorHAnsi"/>
          <w:szCs w:val="24"/>
        </w:rPr>
      </w:pPr>
    </w:p>
    <w:p w:rsidR="00196C6A" w:rsidRPr="002E5F92" w:rsidRDefault="00196C6A" w:rsidP="003E0882">
      <w:pPr>
        <w:ind w:firstLine="0"/>
        <w:rPr>
          <w:rFonts w:asciiTheme="minorHAnsi" w:hAnsiTheme="minorHAnsi" w:cstheme="minorHAnsi"/>
          <w:szCs w:val="24"/>
        </w:rPr>
      </w:pPr>
    </w:p>
    <w:p w:rsidR="00C73245" w:rsidRPr="002E5F92" w:rsidRDefault="003E0882" w:rsidP="003E0882">
      <w:pPr>
        <w:rPr>
          <w:rFonts w:asciiTheme="minorHAnsi" w:hAnsiTheme="minorHAnsi" w:cstheme="minorHAnsi"/>
          <w:szCs w:val="24"/>
        </w:rPr>
      </w:pPr>
      <w:r w:rsidRPr="002E5F92">
        <w:rPr>
          <w:rFonts w:asciiTheme="minorHAnsi" w:hAnsiTheme="minorHAnsi" w:cstheme="minorHAnsi"/>
          <w:szCs w:val="24"/>
        </w:rPr>
        <w:t>Coordinadora: Mar Aguilar</w:t>
      </w:r>
      <w:bookmarkStart w:id="0" w:name="_GoBack"/>
      <w:bookmarkEnd w:id="0"/>
    </w:p>
    <w:sectPr w:rsidR="00C73245" w:rsidRPr="002E5F92" w:rsidSect="00F405D5">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6A" w:rsidRDefault="00C63F6A" w:rsidP="00F405D5">
      <w:pPr>
        <w:spacing w:line="240" w:lineRule="auto"/>
      </w:pPr>
      <w:r>
        <w:separator/>
      </w:r>
    </w:p>
  </w:endnote>
  <w:endnote w:type="continuationSeparator" w:id="1">
    <w:p w:rsidR="00C63F6A" w:rsidRDefault="00C63F6A" w:rsidP="00F405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26022"/>
      <w:docPartObj>
        <w:docPartGallery w:val="Page Numbers (Bottom of Page)"/>
        <w:docPartUnique/>
      </w:docPartObj>
    </w:sdtPr>
    <w:sdtContent>
      <w:p w:rsidR="00895359" w:rsidRDefault="00F405D5">
        <w:pPr>
          <w:pStyle w:val="Piedepgina"/>
          <w:jc w:val="right"/>
        </w:pPr>
        <w:r>
          <w:fldChar w:fldCharType="begin"/>
        </w:r>
        <w:r w:rsidR="003E0882">
          <w:instrText>PAGE   \* MERGEFORMAT</w:instrText>
        </w:r>
        <w:r>
          <w:fldChar w:fldCharType="separate"/>
        </w:r>
        <w:r w:rsidR="002E5F92">
          <w:rPr>
            <w:noProof/>
          </w:rPr>
          <w:t>3</w:t>
        </w:r>
        <w:r>
          <w:fldChar w:fldCharType="end"/>
        </w:r>
      </w:p>
    </w:sdtContent>
  </w:sdt>
  <w:p w:rsidR="00895359" w:rsidRDefault="00C63F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6A" w:rsidRDefault="00C63F6A" w:rsidP="00F405D5">
      <w:pPr>
        <w:spacing w:line="240" w:lineRule="auto"/>
      </w:pPr>
      <w:r>
        <w:separator/>
      </w:r>
    </w:p>
  </w:footnote>
  <w:footnote w:type="continuationSeparator" w:id="1">
    <w:p w:rsidR="00C63F6A" w:rsidRDefault="00C63F6A" w:rsidP="00F405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C43"/>
    <w:multiLevelType w:val="hybridMultilevel"/>
    <w:tmpl w:val="984619CA"/>
    <w:lvl w:ilvl="0" w:tplc="B2061D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C2E2054"/>
    <w:multiLevelType w:val="hybridMultilevel"/>
    <w:tmpl w:val="C28AA0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8C28E9"/>
    <w:multiLevelType w:val="hybridMultilevel"/>
    <w:tmpl w:val="DE62D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A17356"/>
    <w:multiLevelType w:val="hybridMultilevel"/>
    <w:tmpl w:val="1C66D9C4"/>
    <w:lvl w:ilvl="0" w:tplc="CA40AF30">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DB2670A"/>
    <w:multiLevelType w:val="hybridMultilevel"/>
    <w:tmpl w:val="183ADE56"/>
    <w:lvl w:ilvl="0" w:tplc="E8EEAE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89E52A0"/>
    <w:multiLevelType w:val="hybridMultilevel"/>
    <w:tmpl w:val="BC1CF12A"/>
    <w:lvl w:ilvl="0" w:tplc="6C7083F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96C6A"/>
    <w:rsid w:val="00196C6A"/>
    <w:rsid w:val="001C7545"/>
    <w:rsid w:val="002E5F92"/>
    <w:rsid w:val="003E0882"/>
    <w:rsid w:val="00863146"/>
    <w:rsid w:val="009E4F34"/>
    <w:rsid w:val="00A42DBA"/>
    <w:rsid w:val="00BA2607"/>
    <w:rsid w:val="00C63F6A"/>
    <w:rsid w:val="00C73245"/>
    <w:rsid w:val="00F405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6C6A"/>
    <w:pPr>
      <w:tabs>
        <w:tab w:val="center" w:pos="4252"/>
        <w:tab w:val="right" w:pos="8504"/>
      </w:tabs>
      <w:spacing w:line="240" w:lineRule="auto"/>
      <w:ind w:firstLine="0"/>
      <w:jc w:val="left"/>
    </w:pPr>
    <w:rPr>
      <w:rFonts w:asciiTheme="minorHAnsi" w:hAnsiTheme="minorHAnsi" w:cstheme="minorBidi"/>
      <w:sz w:val="22"/>
    </w:rPr>
  </w:style>
  <w:style w:type="character" w:customStyle="1" w:styleId="PiedepginaCar">
    <w:name w:val="Pie de página Car"/>
    <w:basedOn w:val="Fuentedeprrafopredeter"/>
    <w:link w:val="Piedepgina"/>
    <w:uiPriority w:val="99"/>
    <w:rsid w:val="00196C6A"/>
    <w:rPr>
      <w:rFonts w:asciiTheme="minorHAnsi" w:hAnsiTheme="minorHAnsi" w:cstheme="minorBidi"/>
      <w:sz w:val="22"/>
    </w:rPr>
  </w:style>
  <w:style w:type="character" w:styleId="Hipervnculo">
    <w:name w:val="Hyperlink"/>
    <w:basedOn w:val="Fuentedeprrafopredeter"/>
    <w:uiPriority w:val="99"/>
    <w:unhideWhenUsed/>
    <w:rsid w:val="00196C6A"/>
    <w:rPr>
      <w:color w:val="0563C1" w:themeColor="hyperlink"/>
      <w:u w:val="single"/>
    </w:rPr>
  </w:style>
  <w:style w:type="paragraph" w:styleId="Prrafodelista">
    <w:name w:val="List Paragraph"/>
    <w:basedOn w:val="Normal"/>
    <w:uiPriority w:val="34"/>
    <w:qFormat/>
    <w:rsid w:val="00BA2607"/>
    <w:pPr>
      <w:ind w:left="720"/>
      <w:contextualSpacing/>
    </w:pPr>
  </w:style>
  <w:style w:type="paragraph" w:styleId="NormalWeb">
    <w:name w:val="Normal (Web)"/>
    <w:basedOn w:val="Normal"/>
    <w:uiPriority w:val="99"/>
    <w:unhideWhenUsed/>
    <w:rsid w:val="00BA2607"/>
    <w:pPr>
      <w:spacing w:before="100" w:beforeAutospacing="1" w:after="100" w:afterAutospacing="1" w:line="240" w:lineRule="auto"/>
      <w:ind w:firstLine="0"/>
      <w:jc w:val="left"/>
    </w:pPr>
    <w:rPr>
      <w:rFonts w:eastAsia="Times New Roman"/>
      <w:szCs w:val="24"/>
      <w:lang w:eastAsia="es-ES"/>
    </w:rPr>
  </w:style>
  <w:style w:type="character" w:styleId="Textoennegrita">
    <w:name w:val="Strong"/>
    <w:basedOn w:val="Fuentedeprrafopredeter"/>
    <w:uiPriority w:val="22"/>
    <w:qFormat/>
    <w:rsid w:val="00BA2607"/>
    <w:rPr>
      <w:b/>
      <w:bCs/>
    </w:rPr>
  </w:style>
  <w:style w:type="character" w:customStyle="1" w:styleId="apple-converted-space">
    <w:name w:val="apple-converted-space"/>
    <w:basedOn w:val="Fuentedeprrafopredeter"/>
    <w:rsid w:val="00BA2607"/>
  </w:style>
</w:styles>
</file>

<file path=word/webSettings.xml><?xml version="1.0" encoding="utf-8"?>
<w:webSettings xmlns:r="http://schemas.openxmlformats.org/officeDocument/2006/relationships" xmlns:w="http://schemas.openxmlformats.org/wordprocessingml/2006/main">
  <w:divs>
    <w:div w:id="18395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DCBE67D-AE99-4FC7-BE47-7A161E93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alumno</cp:lastModifiedBy>
  <cp:revision>2</cp:revision>
  <dcterms:created xsi:type="dcterms:W3CDTF">2017-03-15T11:14:00Z</dcterms:created>
  <dcterms:modified xsi:type="dcterms:W3CDTF">2017-03-15T11:14:00Z</dcterms:modified>
</cp:coreProperties>
</file>