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7A" w:rsidRPr="0097547A" w:rsidRDefault="00B50210">
      <w:pPr>
        <w:rPr>
          <w:b/>
          <w:sz w:val="20"/>
          <w:szCs w:val="20"/>
        </w:rPr>
      </w:pPr>
      <w:r w:rsidRPr="00B50210">
        <w:rPr>
          <w:noProof/>
        </w:rPr>
        <w:pict>
          <v:shapetype id="_x0000_t202" coordsize="21600,21600" o:spt="202" path="m,l,21600r21600,l21600,xe">
            <v:stroke joinstyle="miter"/>
            <v:path gradientshapeok="t" o:connecttype="rect"/>
          </v:shapetype>
          <v:shape id="_x0000_s1026" type="#_x0000_t202" style="position:absolute;margin-left:-96.2pt;margin-top:19.95pt;width:525.9pt;height:79pt;z-index:251660288;mso-width-relative:margin;mso-height-relative:margin" fillcolor="#548dd4 [1951]" strokeweight="1.25pt">
            <v:textbox style="mso-next-textbox:#_x0000_s1026">
              <w:txbxContent>
                <w:p w:rsidR="0038275E" w:rsidRDefault="00B31E4B">
                  <w:pPr>
                    <w:rPr>
                      <w:sz w:val="28"/>
                      <w:szCs w:val="28"/>
                    </w:rPr>
                  </w:pPr>
                  <w:r>
                    <w:rPr>
                      <w:sz w:val="28"/>
                      <w:szCs w:val="28"/>
                    </w:rPr>
                    <w:t xml:space="preserve"> </w:t>
                  </w:r>
                  <w:r w:rsidR="0038275E">
                    <w:rPr>
                      <w:sz w:val="28"/>
                      <w:szCs w:val="28"/>
                    </w:rPr>
                    <w:t xml:space="preserve">ACTIVIDAD </w:t>
                  </w:r>
                  <w:r w:rsidR="0034596F">
                    <w:rPr>
                      <w:sz w:val="28"/>
                      <w:szCs w:val="28"/>
                    </w:rPr>
                    <w:t xml:space="preserve"> </w:t>
                  </w:r>
                  <w:r w:rsidR="0038275E">
                    <w:rPr>
                      <w:sz w:val="28"/>
                      <w:szCs w:val="28"/>
                    </w:rPr>
                    <w:t xml:space="preserve">Nº </w:t>
                  </w:r>
                  <w:r w:rsidR="00B340EB">
                    <w:rPr>
                      <w:sz w:val="28"/>
                      <w:szCs w:val="28"/>
                    </w:rPr>
                    <w:t>1</w:t>
                  </w:r>
                  <w:r>
                    <w:rPr>
                      <w:sz w:val="28"/>
                      <w:szCs w:val="28"/>
                    </w:rPr>
                    <w:t xml:space="preserve"> </w:t>
                  </w:r>
                  <w:r w:rsidR="0038275E">
                    <w:rPr>
                      <w:sz w:val="28"/>
                      <w:szCs w:val="28"/>
                    </w:rPr>
                    <w:t xml:space="preserve">.GRUPOS INTERACTIVOS. </w:t>
                  </w:r>
                </w:p>
                <w:p w:rsidR="0097547A" w:rsidRPr="0097547A" w:rsidRDefault="0038275E">
                  <w:pPr>
                    <w:rPr>
                      <w:sz w:val="28"/>
                      <w:szCs w:val="28"/>
                    </w:rPr>
                  </w:pPr>
                  <w:r>
                    <w:rPr>
                      <w:sz w:val="28"/>
                      <w:szCs w:val="28"/>
                    </w:rPr>
                    <w:t>UNIDAD DIDACTICA 8 .TESORERÍA Y LIBROS AUXILIARES DE CAJA Y BANCOS</w:t>
                  </w:r>
                  <w:r w:rsidR="00B340EB">
                    <w:rPr>
                      <w:sz w:val="28"/>
                      <w:szCs w:val="28"/>
                    </w:rPr>
                    <w:t>.</w:t>
                  </w:r>
                  <w:r>
                    <w:rPr>
                      <w:sz w:val="28"/>
                      <w:szCs w:val="28"/>
                    </w:rPr>
                    <w:t>LA CONCILIACIÓN BANCARIA</w:t>
                  </w:r>
                </w:p>
              </w:txbxContent>
            </v:textbox>
          </v:shape>
        </w:pict>
      </w:r>
      <w:r w:rsidR="0038275E">
        <w:rPr>
          <w:noProof/>
          <w:lang w:eastAsia="es-ES"/>
        </w:rPr>
        <w:drawing>
          <wp:anchor distT="0" distB="0" distL="114300" distR="114300" simplePos="0" relativeHeight="251662336" behindDoc="0" locked="0" layoutInCell="1" allowOverlap="1">
            <wp:simplePos x="0" y="0"/>
            <wp:positionH relativeFrom="column">
              <wp:posOffset>-522605</wp:posOffset>
            </wp:positionH>
            <wp:positionV relativeFrom="paragraph">
              <wp:posOffset>-467360</wp:posOffset>
            </wp:positionV>
            <wp:extent cx="1076960" cy="688975"/>
            <wp:effectExtent l="19050" t="0" r="8890" b="0"/>
            <wp:wrapSquare wrapText="bothSides"/>
            <wp:docPr id="5" name="Imagen 1" descr="https://encrypted-tbn0.gstatic.com/images?q=tbn:ANd9GcSEprKtkcHIe2QpgqqlBQVPpeCRSoRlqo-5LPj_l6HnMfUcLg-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0.gstatic.com/images?q=tbn:ANd9GcSEprKtkcHIe2QpgqqlBQVPpeCRSoRlqo-5LPj_l6HnMfUcLg-sMA"/>
                    <pic:cNvPicPr>
                      <a:picLocks noChangeAspect="1" noChangeArrowheads="1"/>
                    </pic:cNvPicPr>
                  </pic:nvPicPr>
                  <pic:blipFill>
                    <a:blip r:embed="rId5" cstate="print">
                      <a:lum bright="-12000" contrast="10000"/>
                    </a:blip>
                    <a:srcRect/>
                    <a:stretch>
                      <a:fillRect/>
                    </a:stretch>
                  </pic:blipFill>
                  <pic:spPr bwMode="auto">
                    <a:xfrm>
                      <a:off x="0" y="0"/>
                      <a:ext cx="1076960" cy="688975"/>
                    </a:xfrm>
                    <a:prstGeom prst="rect">
                      <a:avLst/>
                    </a:prstGeom>
                    <a:noFill/>
                    <a:ln w="9525">
                      <a:noFill/>
                      <a:miter lim="800000"/>
                      <a:headEnd/>
                      <a:tailEnd/>
                    </a:ln>
                  </pic:spPr>
                </pic:pic>
              </a:graphicData>
            </a:graphic>
          </wp:anchor>
        </w:drawing>
      </w:r>
      <w:r w:rsidR="0029429A">
        <w:rPr>
          <w:noProof/>
          <w:lang w:eastAsia="es-ES"/>
        </w:rPr>
        <w:drawing>
          <wp:anchor distT="0" distB="0" distL="114300" distR="114300" simplePos="0" relativeHeight="251665408" behindDoc="0" locked="0" layoutInCell="1" allowOverlap="1">
            <wp:simplePos x="0" y="0"/>
            <wp:positionH relativeFrom="column">
              <wp:posOffset>5363210</wp:posOffset>
            </wp:positionH>
            <wp:positionV relativeFrom="paragraph">
              <wp:posOffset>-582295</wp:posOffset>
            </wp:positionV>
            <wp:extent cx="695960" cy="747395"/>
            <wp:effectExtent l="19050" t="0" r="8890" b="0"/>
            <wp:wrapSquare wrapText="bothSides"/>
            <wp:docPr id="4" name="0 Imagen" descr="fp_basica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basica_medium.png"/>
                    <pic:cNvPicPr/>
                  </pic:nvPicPr>
                  <pic:blipFill>
                    <a:blip r:embed="rId6" cstate="print"/>
                    <a:stretch>
                      <a:fillRect/>
                    </a:stretch>
                  </pic:blipFill>
                  <pic:spPr>
                    <a:xfrm>
                      <a:off x="0" y="0"/>
                      <a:ext cx="695960" cy="747395"/>
                    </a:xfrm>
                    <a:prstGeom prst="rect">
                      <a:avLst/>
                    </a:prstGeom>
                  </pic:spPr>
                </pic:pic>
              </a:graphicData>
            </a:graphic>
          </wp:anchor>
        </w:drawing>
      </w:r>
      <w:r w:rsidR="0097547A" w:rsidRPr="0097547A">
        <w:rPr>
          <w:b/>
          <w:sz w:val="20"/>
          <w:szCs w:val="20"/>
        </w:rPr>
        <w:t xml:space="preserve">MODULO </w:t>
      </w:r>
      <w:r w:rsidR="0029429A">
        <w:rPr>
          <w:b/>
          <w:sz w:val="20"/>
          <w:szCs w:val="20"/>
        </w:rPr>
        <w:t xml:space="preserve">TECNICAS ADMINISTRATIVAS BÁSICAS. I.E.S. FUENTE </w:t>
      </w:r>
      <w:proofErr w:type="spellStart"/>
      <w:r w:rsidR="0029429A">
        <w:rPr>
          <w:b/>
          <w:sz w:val="20"/>
          <w:szCs w:val="20"/>
        </w:rPr>
        <w:t>ALTA.</w:t>
      </w:r>
      <w:r w:rsidR="00977E19">
        <w:rPr>
          <w:b/>
          <w:sz w:val="20"/>
          <w:szCs w:val="20"/>
        </w:rPr>
        <w:t>prof.Basilio</w:t>
      </w:r>
      <w:proofErr w:type="spellEnd"/>
      <w:r w:rsidR="00977E19">
        <w:rPr>
          <w:b/>
          <w:sz w:val="20"/>
          <w:szCs w:val="20"/>
        </w:rPr>
        <w:t xml:space="preserve"> J.</w:t>
      </w:r>
    </w:p>
    <w:p w:rsidR="001B305F" w:rsidRDefault="00B50210">
      <w:r>
        <w:rPr>
          <w:noProof/>
        </w:rPr>
        <w:pict>
          <v:shape id="_x0000_s1027" type="#_x0000_t202" style="position:absolute;margin-left:-61.4pt;margin-top:74.9pt;width:548.6pt;height:656.55pt;z-index:251664384;mso-width-relative:margin;mso-height-relative:margin">
            <v:textbox>
              <w:txbxContent>
                <w:p w:rsidR="0038275E" w:rsidRDefault="0038275E" w:rsidP="0097547A">
                  <w:pPr>
                    <w:pStyle w:val="Prrafodelista"/>
                  </w:pPr>
                </w:p>
                <w:p w:rsidR="000E105F" w:rsidRDefault="002510EF" w:rsidP="0097547A">
                  <w:pPr>
                    <w:pStyle w:val="Prrafodelista"/>
                  </w:pPr>
                  <w:r>
                    <w:t>NOMBRE ALUMNO</w:t>
                  </w:r>
                  <w:r w:rsidR="0038275E">
                    <w:t>:</w:t>
                  </w:r>
                </w:p>
                <w:p w:rsidR="0038275E" w:rsidRDefault="0038275E" w:rsidP="0097547A">
                  <w:pPr>
                    <w:pStyle w:val="Prrafodelista"/>
                  </w:pPr>
                  <w:r>
                    <w:t>FECHA:</w:t>
                  </w:r>
                </w:p>
                <w:p w:rsidR="0038275E" w:rsidRDefault="0038275E" w:rsidP="0097547A">
                  <w:pPr>
                    <w:pStyle w:val="Prrafodelista"/>
                  </w:pPr>
                  <w:r>
                    <w:t>CURSO:</w:t>
                  </w:r>
                </w:p>
                <w:p w:rsidR="0038275E" w:rsidRDefault="0038275E" w:rsidP="002510EF">
                  <w:pPr>
                    <w:pStyle w:val="Prrafodelista"/>
                  </w:pPr>
                  <w:r w:rsidRPr="0038275E">
                    <w:rPr>
                      <w:noProof/>
                      <w:lang w:eastAsia="es-ES"/>
                    </w:rPr>
                    <w:drawing>
                      <wp:inline distT="0" distB="0" distL="0" distR="0">
                        <wp:extent cx="2000818" cy="1760561"/>
                        <wp:effectExtent l="19050" t="0" r="0" b="0"/>
                        <wp:docPr id="6" name="Imagen 6" descr="http://cdn.slidesharecdn.com/ss_thumbnails/testeando-121127134924-phpapp02-thumbnail-4.jpg?cb=135402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lidesharecdn.com/ss_thumbnails/testeando-121127134924-phpapp02-thumbnail-4.jpg?cb=1354024220"/>
                                <pic:cNvPicPr>
                                  <a:picLocks noChangeAspect="1" noChangeArrowheads="1"/>
                                </pic:cNvPicPr>
                              </pic:nvPicPr>
                              <pic:blipFill>
                                <a:blip r:embed="rId7" cstate="print"/>
                                <a:srcRect/>
                                <a:stretch>
                                  <a:fillRect/>
                                </a:stretch>
                              </pic:blipFill>
                              <pic:spPr bwMode="auto">
                                <a:xfrm>
                                  <a:off x="0" y="0"/>
                                  <a:ext cx="2003787" cy="1763174"/>
                                </a:xfrm>
                                <a:prstGeom prst="rect">
                                  <a:avLst/>
                                </a:prstGeom>
                                <a:noFill/>
                                <a:ln w="9525">
                                  <a:noFill/>
                                  <a:miter lim="800000"/>
                                  <a:headEnd/>
                                  <a:tailEnd/>
                                </a:ln>
                              </pic:spPr>
                            </pic:pic>
                          </a:graphicData>
                        </a:graphic>
                      </wp:inline>
                    </w:drawing>
                  </w:r>
                </w:p>
                <w:p w:rsidR="0038275E" w:rsidRDefault="002510EF" w:rsidP="0097547A">
                  <w:pPr>
                    <w:pStyle w:val="Prrafodelista"/>
                  </w:pPr>
                  <w:r>
                    <w:t>Señala la respuesta correcta:</w:t>
                  </w:r>
                </w:p>
                <w:p w:rsidR="002510EF" w:rsidRDefault="002510EF" w:rsidP="002510EF">
                  <w:pPr>
                    <w:pStyle w:val="Default"/>
                    <w:rPr>
                      <w:sz w:val="22"/>
                      <w:szCs w:val="22"/>
                    </w:rPr>
                  </w:pPr>
                  <w:r>
                    <w:rPr>
                      <w:b/>
                      <w:bCs/>
                      <w:sz w:val="22"/>
                      <w:szCs w:val="22"/>
                    </w:rPr>
                    <w:t>1. El dinero que las empresas mantienen en efectivo</w:t>
                  </w:r>
                  <w:r w:rsidR="0011337F">
                    <w:rPr>
                      <w:b/>
                      <w:bCs/>
                      <w:sz w:val="22"/>
                      <w:szCs w:val="22"/>
                    </w:rPr>
                    <w:t xml:space="preserve"> en los fondos de la caja chica y en el banco</w:t>
                  </w:r>
                  <w:r>
                    <w:rPr>
                      <w:b/>
                      <w:bCs/>
                      <w:sz w:val="22"/>
                      <w:szCs w:val="22"/>
                    </w:rPr>
                    <w:t xml:space="preserve"> se denomina:</w:t>
                  </w:r>
                </w:p>
                <w:p w:rsidR="002510EF" w:rsidRDefault="002510EF" w:rsidP="002510EF">
                  <w:pPr>
                    <w:pStyle w:val="Default"/>
                    <w:rPr>
                      <w:sz w:val="22"/>
                      <w:szCs w:val="22"/>
                    </w:rPr>
                  </w:pPr>
                  <w:r>
                    <w:rPr>
                      <w:sz w:val="22"/>
                      <w:szCs w:val="22"/>
                    </w:rPr>
                    <w:t xml:space="preserve">a) Libros auxiliares                b) Caja                          c) dinero                             d) Tesorería. </w:t>
                  </w:r>
                </w:p>
                <w:p w:rsidR="002510EF" w:rsidRDefault="002510EF" w:rsidP="002510EF">
                  <w:pPr>
                    <w:pStyle w:val="Default"/>
                    <w:rPr>
                      <w:sz w:val="22"/>
                      <w:szCs w:val="22"/>
                    </w:rPr>
                  </w:pPr>
                  <w:r>
                    <w:rPr>
                      <w:b/>
                      <w:bCs/>
                      <w:sz w:val="22"/>
                      <w:szCs w:val="22"/>
                    </w:rPr>
                    <w:t>2. El lugar donde se guarda el dinero en efectivo de una empresa se denomina:</w:t>
                  </w:r>
                </w:p>
                <w:p w:rsidR="002510EF" w:rsidRDefault="002510EF" w:rsidP="002510EF">
                  <w:pPr>
                    <w:pStyle w:val="Default"/>
                    <w:rPr>
                      <w:sz w:val="22"/>
                      <w:szCs w:val="22"/>
                    </w:rPr>
                  </w:pPr>
                  <w:r>
                    <w:rPr>
                      <w:sz w:val="22"/>
                      <w:szCs w:val="22"/>
                    </w:rPr>
                    <w:t>a) Caja de efectivos              b) Caja chica.                c) depósitos bancarios     d) Caja de seguridad.</w:t>
                  </w:r>
                </w:p>
                <w:p w:rsidR="002510EF" w:rsidRDefault="002510EF" w:rsidP="002510EF">
                  <w:pPr>
                    <w:pStyle w:val="Default"/>
                    <w:rPr>
                      <w:sz w:val="22"/>
                      <w:szCs w:val="22"/>
                    </w:rPr>
                  </w:pPr>
                  <w:r>
                    <w:rPr>
                      <w:b/>
                      <w:bCs/>
                      <w:sz w:val="22"/>
                      <w:szCs w:val="22"/>
                    </w:rPr>
                    <w:t>3. ¿Para qué se pueden utilizar los fondos de la caja chica?</w:t>
                  </w:r>
                </w:p>
                <w:p w:rsidR="002510EF" w:rsidRDefault="00B80F05" w:rsidP="002510EF">
                  <w:pPr>
                    <w:pStyle w:val="Default"/>
                    <w:rPr>
                      <w:sz w:val="22"/>
                      <w:szCs w:val="22"/>
                    </w:rPr>
                  </w:pPr>
                  <w:r>
                    <w:rPr>
                      <w:sz w:val="22"/>
                      <w:szCs w:val="22"/>
                    </w:rPr>
                    <w:t xml:space="preserve">a) para pagar facturas de grandes importes      c) para pagar </w:t>
                  </w:r>
                  <w:proofErr w:type="gramStart"/>
                  <w:r>
                    <w:rPr>
                      <w:sz w:val="22"/>
                      <w:szCs w:val="22"/>
                    </w:rPr>
                    <w:t>materia primas           c</w:t>
                  </w:r>
                  <w:proofErr w:type="gramEnd"/>
                  <w:r>
                    <w:rPr>
                      <w:sz w:val="22"/>
                      <w:szCs w:val="22"/>
                    </w:rPr>
                    <w:t xml:space="preserve">) para repartírselos entre socios                </w:t>
                  </w:r>
                  <w:r w:rsidR="002510EF">
                    <w:rPr>
                      <w:sz w:val="22"/>
                      <w:szCs w:val="22"/>
                    </w:rPr>
                    <w:t xml:space="preserve">d) Para sufragar los desembolsos de pequeñas reparaciones. </w:t>
                  </w:r>
                </w:p>
                <w:p w:rsidR="002510EF" w:rsidRDefault="002510EF" w:rsidP="002510EF">
                  <w:pPr>
                    <w:pStyle w:val="Default"/>
                    <w:rPr>
                      <w:sz w:val="22"/>
                      <w:szCs w:val="22"/>
                    </w:rPr>
                  </w:pPr>
                  <w:r>
                    <w:rPr>
                      <w:b/>
                      <w:bCs/>
                      <w:sz w:val="22"/>
                      <w:szCs w:val="22"/>
                    </w:rPr>
                    <w:t>4. Cuando el tesorero entrega un cheque para pagar la factura de una pequeña reparación, ¿qué justificante debe recibir a cambio?</w:t>
                  </w:r>
                </w:p>
                <w:p w:rsidR="002510EF" w:rsidRDefault="002510EF" w:rsidP="002510EF">
                  <w:pPr>
                    <w:pStyle w:val="Default"/>
                    <w:rPr>
                      <w:sz w:val="22"/>
                      <w:szCs w:val="22"/>
                    </w:rPr>
                  </w:pPr>
                  <w:r>
                    <w:rPr>
                      <w:sz w:val="22"/>
                      <w:szCs w:val="22"/>
                    </w:rPr>
                    <w:t>a) Un recibo.</w:t>
                  </w:r>
                  <w:r w:rsidR="00B80F05">
                    <w:rPr>
                      <w:sz w:val="22"/>
                      <w:szCs w:val="22"/>
                    </w:rPr>
                    <w:t xml:space="preserve">        b) la matriz de un recibo          c</w:t>
                  </w:r>
                  <w:proofErr w:type="gramStart"/>
                  <w:r w:rsidR="00B80F05">
                    <w:rPr>
                      <w:sz w:val="22"/>
                      <w:szCs w:val="22"/>
                    </w:rPr>
                    <w:t>)un</w:t>
                  </w:r>
                  <w:proofErr w:type="gramEnd"/>
                  <w:r w:rsidR="00B80F05">
                    <w:rPr>
                      <w:sz w:val="22"/>
                      <w:szCs w:val="22"/>
                    </w:rPr>
                    <w:t xml:space="preserve"> ticket                                d)un pedido</w:t>
                  </w:r>
                  <w:r>
                    <w:rPr>
                      <w:sz w:val="22"/>
                      <w:szCs w:val="22"/>
                    </w:rPr>
                    <w:t xml:space="preserve"> </w:t>
                  </w:r>
                </w:p>
                <w:p w:rsidR="002510EF" w:rsidRDefault="00B80F05" w:rsidP="002510EF">
                  <w:pPr>
                    <w:pStyle w:val="Default"/>
                    <w:rPr>
                      <w:sz w:val="22"/>
                      <w:szCs w:val="22"/>
                    </w:rPr>
                  </w:pPr>
                  <w:r>
                    <w:rPr>
                      <w:b/>
                      <w:bCs/>
                      <w:sz w:val="22"/>
                      <w:szCs w:val="22"/>
                    </w:rPr>
                    <w:t>5</w:t>
                  </w:r>
                  <w:r w:rsidR="002510EF">
                    <w:rPr>
                      <w:b/>
                      <w:bCs/>
                      <w:sz w:val="22"/>
                      <w:szCs w:val="22"/>
                    </w:rPr>
                    <w:t>. El saldo resultante de los movimientos de caja es:</w:t>
                  </w:r>
                </w:p>
                <w:p w:rsidR="002510EF" w:rsidRDefault="00B80F05" w:rsidP="002510EF">
                  <w:pPr>
                    <w:pStyle w:val="Default"/>
                    <w:rPr>
                      <w:sz w:val="22"/>
                      <w:szCs w:val="22"/>
                    </w:rPr>
                  </w:pPr>
                  <w:r>
                    <w:rPr>
                      <w:sz w:val="22"/>
                      <w:szCs w:val="22"/>
                    </w:rPr>
                    <w:t xml:space="preserve"> a) </w:t>
                  </w:r>
                  <w:proofErr w:type="gramStart"/>
                  <w:r>
                    <w:rPr>
                      <w:sz w:val="22"/>
                      <w:szCs w:val="22"/>
                    </w:rPr>
                    <w:t>el</w:t>
                  </w:r>
                  <w:proofErr w:type="gramEnd"/>
                  <w:r>
                    <w:rPr>
                      <w:sz w:val="22"/>
                      <w:szCs w:val="22"/>
                    </w:rPr>
                    <w:t xml:space="preserve"> saldo de la cuenta a la vista            b) el saldo del arqueo de caja           </w:t>
                  </w:r>
                  <w:r w:rsidR="002510EF">
                    <w:rPr>
                      <w:sz w:val="22"/>
                      <w:szCs w:val="22"/>
                    </w:rPr>
                    <w:t xml:space="preserve">c) El saldo del libro de caja. </w:t>
                  </w:r>
                </w:p>
                <w:p w:rsidR="002510EF" w:rsidRDefault="00B80F05" w:rsidP="002510EF">
                  <w:pPr>
                    <w:pStyle w:val="Default"/>
                    <w:rPr>
                      <w:sz w:val="22"/>
                      <w:szCs w:val="22"/>
                    </w:rPr>
                  </w:pPr>
                  <w:r>
                    <w:rPr>
                      <w:b/>
                      <w:bCs/>
                      <w:sz w:val="22"/>
                      <w:szCs w:val="22"/>
                    </w:rPr>
                    <w:t>6</w:t>
                  </w:r>
                  <w:r w:rsidR="002510EF">
                    <w:rPr>
                      <w:b/>
                      <w:bCs/>
                      <w:sz w:val="22"/>
                      <w:szCs w:val="22"/>
                    </w:rPr>
                    <w:t>. El arqueo de caja consiste en:</w:t>
                  </w:r>
                </w:p>
                <w:p w:rsidR="002510EF" w:rsidRDefault="002510EF" w:rsidP="002510EF">
                  <w:pPr>
                    <w:pStyle w:val="Default"/>
                    <w:rPr>
                      <w:sz w:val="22"/>
                      <w:szCs w:val="22"/>
                    </w:rPr>
                  </w:pPr>
                  <w:r>
                    <w:rPr>
                      <w:sz w:val="22"/>
                      <w:szCs w:val="22"/>
                    </w:rPr>
                    <w:t xml:space="preserve">a) Verificar que el saldo disponible que refleja el libro auxiliar de caja en un momento determinado se corresponde con el que se encuentra físicamente en la caja chica de la empresa. </w:t>
                  </w:r>
                  <w:r w:rsidR="00B80F05">
                    <w:rPr>
                      <w:sz w:val="22"/>
                      <w:szCs w:val="22"/>
                    </w:rPr>
                    <w:t>Es el recuento físico de la caja chica.</w:t>
                  </w:r>
                </w:p>
                <w:p w:rsidR="00B80F05" w:rsidRDefault="00B80F05" w:rsidP="002510EF">
                  <w:pPr>
                    <w:pStyle w:val="Default"/>
                    <w:rPr>
                      <w:sz w:val="22"/>
                      <w:szCs w:val="22"/>
                    </w:rPr>
                  </w:pPr>
                  <w:r>
                    <w:rPr>
                      <w:sz w:val="22"/>
                      <w:szCs w:val="22"/>
                    </w:rPr>
                    <w:t>b) verificar que el saldo disponible que refleja la conciliación bancaria en un momento determinado corresponde con el que se encuentra físicamente en la cuenta a la vista de la empresa.</w:t>
                  </w:r>
                </w:p>
                <w:p w:rsidR="002510EF" w:rsidRDefault="00B80F05" w:rsidP="002510EF">
                  <w:pPr>
                    <w:pStyle w:val="Default"/>
                    <w:rPr>
                      <w:b/>
                      <w:bCs/>
                      <w:sz w:val="22"/>
                      <w:szCs w:val="22"/>
                    </w:rPr>
                  </w:pPr>
                  <w:r>
                    <w:rPr>
                      <w:b/>
                      <w:bCs/>
                      <w:sz w:val="22"/>
                      <w:szCs w:val="22"/>
                    </w:rPr>
                    <w:t>7</w:t>
                  </w:r>
                  <w:r w:rsidR="002510EF">
                    <w:rPr>
                      <w:b/>
                      <w:bCs/>
                      <w:sz w:val="22"/>
                      <w:szCs w:val="22"/>
                    </w:rPr>
                    <w:t>. La conciliación bancaria:</w:t>
                  </w:r>
                </w:p>
                <w:p w:rsidR="002510EF" w:rsidRDefault="002510EF" w:rsidP="002510EF">
                  <w:pPr>
                    <w:pStyle w:val="Default"/>
                    <w:rPr>
                      <w:sz w:val="22"/>
                      <w:szCs w:val="22"/>
                    </w:rPr>
                  </w:pPr>
                  <w:r>
                    <w:rPr>
                      <w:sz w:val="22"/>
                      <w:szCs w:val="22"/>
                    </w:rPr>
                    <w:t xml:space="preserve">a) Es una tarea que consiste en comparar las anotaciones realizadas en el libro de bancos con el extracto mensual que la entidad bancaria envía a la empresa. </w:t>
                  </w:r>
                </w:p>
                <w:p w:rsidR="00B80F05" w:rsidRDefault="00B80F05" w:rsidP="002510EF">
                  <w:pPr>
                    <w:pStyle w:val="Default"/>
                    <w:rPr>
                      <w:sz w:val="22"/>
                      <w:szCs w:val="22"/>
                    </w:rPr>
                  </w:pPr>
                  <w:r>
                    <w:rPr>
                      <w:sz w:val="22"/>
                      <w:szCs w:val="22"/>
                    </w:rPr>
                    <w:t>b) es una tarea que consiste en comparar las anotaciones realizadas en el libro auxiliar de caja con el extracto mensual que la entidad bancaria envía a la empresa.</w:t>
                  </w:r>
                </w:p>
                <w:p w:rsidR="00B80F05" w:rsidRDefault="00B80F05" w:rsidP="002510EF">
                  <w:pPr>
                    <w:pStyle w:val="Default"/>
                    <w:rPr>
                      <w:sz w:val="22"/>
                      <w:szCs w:val="22"/>
                    </w:rPr>
                  </w:pPr>
                  <w:r>
                    <w:rPr>
                      <w:sz w:val="22"/>
                      <w:szCs w:val="22"/>
                    </w:rPr>
                    <w:t>c) es una tarea que consiste en comparar las anotaciones realizadas en el arqueo de caja con el libro auxiliar de bancos.</w:t>
                  </w:r>
                </w:p>
                <w:p w:rsidR="00B80F05" w:rsidRDefault="00B80F05" w:rsidP="002510EF">
                  <w:pPr>
                    <w:pStyle w:val="Default"/>
                    <w:rPr>
                      <w:sz w:val="22"/>
                      <w:szCs w:val="22"/>
                    </w:rPr>
                  </w:pPr>
                  <w:r>
                    <w:rPr>
                      <w:sz w:val="22"/>
                      <w:szCs w:val="22"/>
                    </w:rPr>
                    <w:t>d) es una tarea que consiste en comparar las anotaciones realizadas en el libro auxiliar de caja con el libro auxiliar de bancos.</w:t>
                  </w:r>
                </w:p>
                <w:p w:rsidR="002510EF" w:rsidRDefault="00B80F05" w:rsidP="002510EF">
                  <w:pPr>
                    <w:pStyle w:val="Default"/>
                    <w:rPr>
                      <w:b/>
                      <w:bCs/>
                      <w:sz w:val="22"/>
                      <w:szCs w:val="22"/>
                    </w:rPr>
                  </w:pPr>
                  <w:r>
                    <w:rPr>
                      <w:b/>
                      <w:bCs/>
                      <w:sz w:val="22"/>
                      <w:szCs w:val="22"/>
                    </w:rPr>
                    <w:t>8.</w:t>
                  </w:r>
                  <w:r w:rsidR="002510EF">
                    <w:rPr>
                      <w:b/>
                      <w:bCs/>
                      <w:sz w:val="22"/>
                      <w:szCs w:val="22"/>
                    </w:rPr>
                    <w:t xml:space="preserve"> Para preservar la confidencialidad en las operaciones de tesorería:</w:t>
                  </w:r>
                </w:p>
                <w:p w:rsidR="00B80F05" w:rsidRPr="0011337F" w:rsidRDefault="00B80F05" w:rsidP="002510EF">
                  <w:pPr>
                    <w:pStyle w:val="Default"/>
                    <w:rPr>
                      <w:bCs/>
                      <w:sz w:val="22"/>
                      <w:szCs w:val="22"/>
                    </w:rPr>
                  </w:pPr>
                  <w:r w:rsidRPr="0011337F">
                    <w:rPr>
                      <w:bCs/>
                      <w:sz w:val="22"/>
                      <w:szCs w:val="22"/>
                    </w:rPr>
                    <w:t>a) el personal del departamento de tesorería debe estar compuesto por empleados responsable y discretos</w:t>
                  </w:r>
                </w:p>
                <w:p w:rsidR="00B80F05" w:rsidRPr="0011337F" w:rsidRDefault="00B80F05" w:rsidP="002510EF">
                  <w:pPr>
                    <w:pStyle w:val="Default"/>
                    <w:rPr>
                      <w:bCs/>
                      <w:sz w:val="22"/>
                      <w:szCs w:val="22"/>
                    </w:rPr>
                  </w:pPr>
                  <w:r w:rsidRPr="0011337F">
                    <w:rPr>
                      <w:bCs/>
                      <w:sz w:val="22"/>
                      <w:szCs w:val="22"/>
                    </w:rPr>
                    <w:t xml:space="preserve">b) </w:t>
                  </w:r>
                  <w:r w:rsidR="0011337F" w:rsidRPr="0011337F">
                    <w:rPr>
                      <w:bCs/>
                      <w:sz w:val="22"/>
                      <w:szCs w:val="22"/>
                    </w:rPr>
                    <w:t>se establecen una serie de medidas de seguridad y confidencialidad para las operaciones realizadas por el departamento de tesorería.</w:t>
                  </w:r>
                </w:p>
                <w:p w:rsidR="0011337F" w:rsidRPr="0011337F" w:rsidRDefault="0011337F" w:rsidP="002510EF">
                  <w:pPr>
                    <w:pStyle w:val="Default"/>
                    <w:rPr>
                      <w:sz w:val="22"/>
                      <w:szCs w:val="22"/>
                    </w:rPr>
                  </w:pPr>
                  <w:proofErr w:type="gramStart"/>
                  <w:r w:rsidRPr="0011337F">
                    <w:rPr>
                      <w:bCs/>
                      <w:sz w:val="22"/>
                      <w:szCs w:val="22"/>
                    </w:rPr>
                    <w:t>c)los</w:t>
                  </w:r>
                  <w:proofErr w:type="gramEnd"/>
                  <w:r w:rsidRPr="0011337F">
                    <w:rPr>
                      <w:bCs/>
                      <w:sz w:val="22"/>
                      <w:szCs w:val="22"/>
                    </w:rPr>
                    <w:t xml:space="preserve"> empleados del departamento de tesorería firman una clausula de confidencialidad</w:t>
                  </w:r>
                </w:p>
                <w:p w:rsidR="002510EF" w:rsidRDefault="002510EF" w:rsidP="0011337F">
                  <w:r>
                    <w:t>d) Todas las respuestas son correctas.</w:t>
                  </w:r>
                </w:p>
                <w:p w:rsidR="0011337F" w:rsidRDefault="0011337F">
                  <w:pPr>
                    <w:jc w:val="center"/>
                  </w:pPr>
                </w:p>
              </w:txbxContent>
            </v:textbox>
          </v:shape>
        </w:pict>
      </w:r>
      <w:r>
        <w:rPr>
          <w:noProof/>
          <w:lang w:eastAsia="es-ES"/>
        </w:rPr>
        <w:pict>
          <v:shape id="_x0000_s1029" type="#_x0000_t202" style="position:absolute;margin-left:191.65pt;margin-top:150.65pt;width:257.95pt;height:127.9pt;z-index:251666432">
            <v:textbox>
              <w:txbxContent>
                <w:p w:rsidR="002510EF" w:rsidRDefault="002510EF">
                  <w:r w:rsidRPr="0038275E">
                    <w:rPr>
                      <w:b/>
                    </w:rPr>
                    <w:t>NOMBRE DE LA ACTIVIDAD. TESTEANDO. (</w:t>
                  </w:r>
                  <w:r>
                    <w:t>Comprueba tu aprendizaje de la unidad didáctica LA TESORERIA EN LA EMPRESA. CONTROL Y ELABORACIÓN DE LIBROS AUXILIARES DE TESORERIA)</w:t>
                  </w:r>
                </w:p>
                <w:p w:rsidR="002510EF" w:rsidRDefault="002510EF" w:rsidP="002510EF">
                  <w:pPr>
                    <w:pStyle w:val="Prrafodelista"/>
                  </w:pPr>
                  <w:r>
                    <w:t>Tiempo para su realización. 15 minutos.</w:t>
                  </w:r>
                </w:p>
                <w:p w:rsidR="002510EF" w:rsidRDefault="002510EF" w:rsidP="002510EF">
                  <w:pPr>
                    <w:pStyle w:val="Prrafodelista"/>
                  </w:pPr>
                  <w:r>
                    <w:t>Tipo de tarea. INDIVIDUAL.</w:t>
                  </w:r>
                </w:p>
                <w:p w:rsidR="002510EF" w:rsidRDefault="002510EF"/>
                <w:p w:rsidR="002510EF" w:rsidRDefault="002510EF"/>
                <w:p w:rsidR="002510EF" w:rsidRDefault="002510EF"/>
              </w:txbxContent>
            </v:textbox>
          </v:shape>
        </w:pict>
      </w:r>
    </w:p>
    <w:sectPr w:rsidR="001B305F" w:rsidSect="0097547A">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EE5"/>
    <w:multiLevelType w:val="hybridMultilevel"/>
    <w:tmpl w:val="5C629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622400"/>
    <w:multiLevelType w:val="hybridMultilevel"/>
    <w:tmpl w:val="95B6F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D3788E"/>
    <w:multiLevelType w:val="hybridMultilevel"/>
    <w:tmpl w:val="6DEC78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7547A"/>
    <w:rsid w:val="000E105F"/>
    <w:rsid w:val="00111178"/>
    <w:rsid w:val="0011337F"/>
    <w:rsid w:val="001B305F"/>
    <w:rsid w:val="001C4F39"/>
    <w:rsid w:val="00237FD1"/>
    <w:rsid w:val="002419D9"/>
    <w:rsid w:val="002510EF"/>
    <w:rsid w:val="002874B4"/>
    <w:rsid w:val="0029429A"/>
    <w:rsid w:val="0033201A"/>
    <w:rsid w:val="0034596F"/>
    <w:rsid w:val="0038275E"/>
    <w:rsid w:val="003E79E2"/>
    <w:rsid w:val="0042768C"/>
    <w:rsid w:val="004A22A0"/>
    <w:rsid w:val="004D40CA"/>
    <w:rsid w:val="005148C0"/>
    <w:rsid w:val="005A56A5"/>
    <w:rsid w:val="00651C1C"/>
    <w:rsid w:val="00651D58"/>
    <w:rsid w:val="00683EB7"/>
    <w:rsid w:val="006E31CD"/>
    <w:rsid w:val="00742AEC"/>
    <w:rsid w:val="0097547A"/>
    <w:rsid w:val="00977E19"/>
    <w:rsid w:val="0098774D"/>
    <w:rsid w:val="00A11CC5"/>
    <w:rsid w:val="00B31E4B"/>
    <w:rsid w:val="00B340EB"/>
    <w:rsid w:val="00B50210"/>
    <w:rsid w:val="00B6793C"/>
    <w:rsid w:val="00B80F05"/>
    <w:rsid w:val="00B93272"/>
    <w:rsid w:val="00BA717B"/>
    <w:rsid w:val="00BF39A2"/>
    <w:rsid w:val="00C122B9"/>
    <w:rsid w:val="00D82654"/>
    <w:rsid w:val="00DE742E"/>
    <w:rsid w:val="00EA2CF7"/>
    <w:rsid w:val="00F23DF3"/>
    <w:rsid w:val="00F60546"/>
    <w:rsid w:val="00FB37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5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47A"/>
    <w:rPr>
      <w:rFonts w:ascii="Tahoma" w:hAnsi="Tahoma" w:cs="Tahoma"/>
      <w:sz w:val="16"/>
      <w:szCs w:val="16"/>
    </w:rPr>
  </w:style>
  <w:style w:type="paragraph" w:styleId="Prrafodelista">
    <w:name w:val="List Paragraph"/>
    <w:basedOn w:val="Normal"/>
    <w:uiPriority w:val="34"/>
    <w:qFormat/>
    <w:rsid w:val="0097547A"/>
    <w:pPr>
      <w:ind w:left="720"/>
      <w:contextualSpacing/>
    </w:pPr>
  </w:style>
  <w:style w:type="character" w:styleId="Hipervnculo">
    <w:name w:val="Hyperlink"/>
    <w:basedOn w:val="Fuentedeprrafopredeter"/>
    <w:uiPriority w:val="99"/>
    <w:unhideWhenUsed/>
    <w:rsid w:val="004A22A0"/>
    <w:rPr>
      <w:color w:val="0000FF" w:themeColor="hyperlink"/>
      <w:u w:val="single"/>
    </w:rPr>
  </w:style>
  <w:style w:type="paragraph" w:customStyle="1" w:styleId="Standard">
    <w:name w:val="Standard"/>
    <w:rsid w:val="0029429A"/>
    <w:pPr>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customStyle="1" w:styleId="Default">
    <w:name w:val="Default"/>
    <w:rsid w:val="002510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cp:lastModifiedBy>
  <cp:revision>2</cp:revision>
  <cp:lastPrinted>2016-01-14T07:50:00Z</cp:lastPrinted>
  <dcterms:created xsi:type="dcterms:W3CDTF">2017-05-22T21:24:00Z</dcterms:created>
  <dcterms:modified xsi:type="dcterms:W3CDTF">2017-05-22T21:24:00Z</dcterms:modified>
</cp:coreProperties>
</file>