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240" w:after="0"/>
        <w:rPr/>
      </w:pPr>
      <w:r>
        <w:rPr/>
        <w:t>FACTORES CLAVE PROPUESTOS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1.- Gestión y Admón del CEP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2.- Concreción anual del plan de actuación anual y sus adaptaciones a las necesidades formativas de la zona educativa.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3.- La evaluación de la formación y su incidencia en el aprendizaje del alumnado.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4.- La relación con los centros y servicios educativos.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Encabezado1"/>
        <w:rPr/>
      </w:pPr>
      <w:r>
        <w:rPr/>
        <w:t>DESARROLLO FACTOR CLAVE 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1.- Gestión y Admón del CEP</w:t>
      </w:r>
    </w:p>
    <w:p>
      <w:pPr>
        <w:pStyle w:val="Normal"/>
        <w:ind w:left="708" w:hang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1.1- Recursos materiales</w:t>
      </w:r>
    </w:p>
    <w:p>
      <w:pPr>
        <w:pStyle w:val="Normal"/>
        <w:tabs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Accesibilidad</w:t>
        <w:br/>
        <w:t>- Actualización de inventario.</w:t>
      </w:r>
    </w:p>
    <w:p>
      <w:pPr>
        <w:pStyle w:val="Normal"/>
        <w:tabs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Préstamo de recursos materiales</w:t>
      </w:r>
    </w:p>
    <w:p>
      <w:pPr>
        <w:pStyle w:val="Normal"/>
        <w:tabs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Gestión de recursos económicos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Grado de cumplimiento del presupuesto.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Sostenibilidad medioambiental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Pagina web, redes.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Elaboración de materiales propios.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90" w:leader="none"/>
        </w:tabs>
        <w:spacing w:lineRule="auto" w:line="240"/>
        <w:ind w:left="1418" w:hanging="0"/>
        <w:rPr>
          <w:sz w:val="28"/>
          <w:szCs w:val="28"/>
        </w:rPr>
      </w:pPr>
      <w:r>
        <w:rPr>
          <w:sz w:val="28"/>
          <w:szCs w:val="28"/>
        </w:rPr>
        <w:t>- Publicaciones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1.2.- RRHH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de acogida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Gestión del tiempo del equipo asesor: asesoría/centro educativo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Criterios asignación asesorías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Criterios de asignación de centros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Criterios reparto carga de trabajo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Cumplimiento jornada laboral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Planificación del trabajo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Delimitación de funciones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Gestión de las reuniones de trabajo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1.3.- Coordinación de órganos y comisiones</w:t>
      </w:r>
    </w:p>
    <w:p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Órganos colegiados/no colegiados</w:t>
      </w:r>
    </w:p>
    <w:p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Funcionamiento de comisiones</w:t>
      </w:r>
    </w:p>
    <w:p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Gestión de reuniones de coordinación interna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1.4.- Convivencia en el CEP: derechos y deberes de trabajadores y usuarios.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ab/>
        <w:t>- Derechos de deberes del personal asistentes a actividades de formación.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ab/>
        <w:t>- Derechos y deberes del personal del CEP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1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64013d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64013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03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LibreOffice/5.1.4.2$Windows_x86 LibreOffice_project/f99d75f39f1c57ebdd7ffc5f42867c12031db97a</Application>
  <Pages>2</Pages>
  <Words>203</Words>
  <Characters>1154</Characters>
  <CharactersWithSpaces>1316</CharactersWithSpaces>
  <Paragraphs>34</Paragraphs>
  <Company>CO_Quinteros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2017-04-27T14:49:00Z</dcterms:created>
  <dc:creator>Domingo Ruiz</dc:creator>
  <dc:description/>
  <dc:language>es-ES</dc:language>
  <cp:lastModifiedBy>Usuario de Windows</cp:lastModifiedBy>
  <cp:lastPrinted>2017-04-28T11:34:00Z</cp:lastPrinted>
  <dcterms:modified xsi:type="dcterms:W3CDTF">2017-04-28T07:37:00Z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CO_Quinteros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